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754FD0" w:rsidRPr="00754FD0" w:rsidRDefault="00246BE4" w:rsidP="00754FD0">
      <w:pPr>
        <w:jc w:val="center"/>
        <w:rPr>
          <w:rFonts w:ascii="GHEA Grapalat" w:hAnsi="GHEA Grapalat" w:cs="Sylfaen"/>
          <w:b/>
          <w:bCs/>
          <w:i/>
          <w:iCs/>
          <w:szCs w:val="24"/>
          <w:lang w:val="pt-BR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627273" w:rsidRPr="005D0678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 Ո </w:t>
      </w:r>
      <w:r w:rsidR="00627273">
        <w:rPr>
          <w:rFonts w:ascii="GHEA Grapalat" w:hAnsi="GHEA Grapalat"/>
          <w:b/>
          <w:sz w:val="22"/>
          <w:szCs w:val="22"/>
          <w:lang w:val="pt-BR" w:eastAsia="zh-CN"/>
        </w:rPr>
        <w:t>ԲԸԱՀ-ԾՁԲ</w:t>
      </w:r>
      <w:r w:rsidR="00627273" w:rsidRPr="005D0678">
        <w:rPr>
          <w:rFonts w:ascii="GHEA Grapalat" w:hAnsi="GHEA Grapalat"/>
          <w:b/>
          <w:sz w:val="22"/>
          <w:szCs w:val="22"/>
          <w:lang w:val="pt-BR" w:eastAsia="zh-CN"/>
        </w:rPr>
        <w:t>-</w:t>
      </w:r>
      <w:r w:rsidR="00627273">
        <w:rPr>
          <w:rFonts w:ascii="GHEA Grapalat" w:hAnsi="GHEA Grapalat"/>
          <w:b/>
          <w:sz w:val="22"/>
          <w:szCs w:val="22"/>
          <w:lang w:val="pt-BR" w:eastAsia="zh-CN"/>
        </w:rPr>
        <w:t>ԷԱ/2015</w:t>
      </w:r>
    </w:p>
    <w:p w:rsidR="00D31737" w:rsidRPr="00082C05" w:rsidRDefault="00D31737" w:rsidP="00754FD0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627273" w:rsidRPr="005D0678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 Ո </w:t>
      </w:r>
      <w:r w:rsidR="00627273">
        <w:rPr>
          <w:rFonts w:ascii="GHEA Grapalat" w:hAnsi="GHEA Grapalat"/>
          <w:b/>
          <w:sz w:val="22"/>
          <w:szCs w:val="22"/>
          <w:lang w:val="pt-BR" w:eastAsia="zh-CN"/>
        </w:rPr>
        <w:t>ԲԸԱՀ-ԾՁԲ</w:t>
      </w:r>
      <w:r w:rsidR="00627273" w:rsidRPr="005D0678">
        <w:rPr>
          <w:rFonts w:ascii="GHEA Grapalat" w:hAnsi="GHEA Grapalat"/>
          <w:b/>
          <w:sz w:val="22"/>
          <w:szCs w:val="22"/>
          <w:lang w:val="pt-BR" w:eastAsia="zh-CN"/>
        </w:rPr>
        <w:t>-</w:t>
      </w:r>
      <w:r w:rsidR="00627273">
        <w:rPr>
          <w:rFonts w:ascii="GHEA Grapalat" w:hAnsi="GHEA Grapalat"/>
          <w:b/>
          <w:sz w:val="22"/>
          <w:szCs w:val="22"/>
          <w:lang w:val="pt-BR" w:eastAsia="zh-CN"/>
        </w:rPr>
        <w:t xml:space="preserve">ԷԱ/2015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"/>
        <w:gridCol w:w="134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19449B" w:rsidTr="00ED021F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754FD0" w:rsidRDefault="00627273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4515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Կենսաչափական կողմնորոշիչներ պարունակող էլեկտրոնային անձնագրերի համակարգի սպասարկման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27273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65 000</w:t>
            </w:r>
            <w:r w:rsidR="00246BE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նկարագրությունը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բաղկացած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հետևյալ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ենթահամակարգերից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</w:p>
          <w:p w:rsidR="00CF703D" w:rsidRPr="00451534" w:rsidRDefault="00CF703D" w:rsidP="00CF703D">
            <w:pPr>
              <w:spacing w:after="12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կիրառական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թույլ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տալիս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հավաքագրել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միջազգային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ստանդարտների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լրացնել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հայտաձևը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ապահով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փոխանցել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հայտը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Նախատեսվում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ունենալ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61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spacing w:after="12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հիմք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կհանդիսանա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քարտերի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կպարունակի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անձնագրի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քարտի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գործառույթները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կներառի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Օգտագործողի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որպեսզի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կենտրոնացնի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վարի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ողջ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կենդանի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ցիկլի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կարգավիճակը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պատճառով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կենտրանական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ինտերֆեյս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թույլ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տալիս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ստուգել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կարգավիճակը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Անվտանգ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Փաստաթղթաշրջանռության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lastRenderedPageBreak/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ԱՓԿՀ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կորիզն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ներառում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կենտրոնացված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`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ԱՓԿՀ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ողնաշարն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քանի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կիրառվում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ղեկավարելու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շրջանառությունը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գրասենյակներից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գրասենյակից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բանալիների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ՀԲԵ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ստորագրելու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հավաստագրերի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միջոցով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ապահովելու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ներարված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տեղեկատվության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CF703D" w:rsidRPr="002333C0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Բնակչության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պետական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ռեգիստրը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սակայն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այս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սպասարկվում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Երևանի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մաթեմատիկական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մեքենաների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գիտահետոզատական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ինստիտուտի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Աշխատանքի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շրջանակը</w:t>
            </w:r>
          </w:p>
          <w:p w:rsidR="00CF703D" w:rsidRPr="00451534" w:rsidRDefault="00CF703D" w:rsidP="00CF703D">
            <w:pPr>
              <w:tabs>
                <w:tab w:val="num" w:pos="0"/>
              </w:tabs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Սույն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Առաջադրանքի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Պայմանների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շրջանակներում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“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ենթակառուցվածքների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ներդման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”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ՓԲԸ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ԷԿԵՆԳ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հետևյալ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պարտավորությունները՝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տեղական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մակարդակով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էլ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անձնագրերի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և</w:t>
            </w:r>
            <w:r w:rsidRPr="002333C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նույնականացման քարտերի համակարգի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արձագանքման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մակարդակների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առումով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1.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Օժանդակել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Ոստիկանության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աշխատակիցներին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օգտագործողներին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`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պատասխանելով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հեռախոսազանգերին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նամակներին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արձագանքման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ժամանակին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արձագանքելով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ներկայացված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Գրառել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միջադեպերը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լուծմանը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իրականացման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կօգտագործվի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գրանցման և 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գործիք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Ներդնել միջադեպերի կառավարման մեխանիզմը եւ արդյունավետ իրականացնել այն,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Վերլուծել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միջադեպերը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վերարտադրել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իրավիճակներ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ստուգել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լուծել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խնդիրները (եթե դա մտնում է 1 կամ 2 մակարդակի սպասարկման մեջ),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Համագործակցել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լեհական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ընկերության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հետ՝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դիտանցել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լուծումները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Թերությունները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ներկայացնել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ընկերության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դիտանցել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7.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երրորդ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հնարավորությունները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համացանցային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բրաուզերների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համացանցային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հավելումների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8.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գործունեության համար անհրաժեշտ հարակից սերվերների (DNS, MAIL, NTP) սպասարկումը;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9.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Փորձարկել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եւ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ներդնել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տրամադրված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ուղղումները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փոփոխությունները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;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10.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Իրականացնել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տեխնիական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աուդիտ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11.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Իրականացնել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անխափան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և չընդհատվող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գործողություններ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694D26" w:rsidRPr="00DD24DB" w:rsidRDefault="00CF703D" w:rsidP="00CF703D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12.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Իրականացնել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զարգացման հետ կապված աշխատանքներ: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lastRenderedPageBreak/>
              <w:t>Համակարգի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նկարագրությունը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բաղկացած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հետևյալ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ենթահամակարգերից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</w:p>
          <w:p w:rsidR="00CF703D" w:rsidRPr="00451534" w:rsidRDefault="00CF703D" w:rsidP="00CF703D">
            <w:pPr>
              <w:spacing w:after="12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կիրառական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թույլ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տալիս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հավաքագրել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միջազգային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ստանդարտների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լրացնել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հայտաձևը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ապահով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եղանակով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փոխանցել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հայտը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Նախատեսվում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ունենալ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61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spacing w:after="12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հիմք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կհանդիսանա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կենսաչափական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անձնագրերի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քարտերի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կպարունակի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անձնագրի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քարտի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գործառույթները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ինչպես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կներառի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Օգտագործողի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որպեսզի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կենտրոնացնի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նույնականացման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Թողարկումը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վարի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ողջ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կենդանի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ցիկլի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կարգավիճակը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պատճառով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կենտրանական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ինտերֆեյս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թույլ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տալիս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ստուգել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կարգավիճակը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Անվտանգ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lastRenderedPageBreak/>
              <w:t>Փաստաթղթաշրջանռության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ԱՓԿՀ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կորիզն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ներառում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կենտրոնացված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`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ԱՓԿՀ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ողնաշարն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քանի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որ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կիրառվում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ղեկավարելու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շրջանառությունը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Գրանցման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գրասենյակներից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Երևան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.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գրասենյակից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անհատականացման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կենտրոն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Հանրային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բանալիների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ՀԲԵ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նախատեսված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ստորագրելու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հավաստագրերի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միջոցով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ապահովելու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ներարված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տեղեկատվության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CF703D" w:rsidRPr="00CF703D" w:rsidRDefault="00CF703D" w:rsidP="00CF703D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Բնակչության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պետական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ռեգիստրը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պահպանում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անհատական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տվյալները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սակայն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այս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ենթահամակարգը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սպասարկվում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Երևանի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մաթեմատիկական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մեքենաների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գիտահետոզատական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ինստիտուտի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Աշխատանքի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b/>
                <w:bCs/>
                <w:sz w:val="12"/>
                <w:szCs w:val="12"/>
              </w:rPr>
              <w:t>շրջանակը</w:t>
            </w:r>
          </w:p>
          <w:p w:rsidR="00CF703D" w:rsidRPr="00451534" w:rsidRDefault="00CF703D" w:rsidP="00CF703D">
            <w:pPr>
              <w:tabs>
                <w:tab w:val="num" w:pos="0"/>
              </w:tabs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</w:rPr>
              <w:t>Սույն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Առաջադրանքի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Պայմանների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շրջանակներում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“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կառավարման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ենթակառուցվածքների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ներդման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գրասենյան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”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ՓԲԸ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ԷԿԵՆԳ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ունի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հետևյալ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պարտավորությունները՝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տեղական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մակարդակով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էլ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անձնագրերի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և</w:t>
            </w:r>
            <w:r w:rsidRPr="00CF703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նույնականացման քարտերի համակարգի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օպերատիվ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արձագանքման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մակարդակների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առումով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1.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Օժանդակել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Ոստիկանության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աշխատակիցներին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քաղաքացիներին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օգտագործողներին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`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պատասխանելով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հեռախոսազանգերին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էլեկտրոնային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նամակներին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արձագանքման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միջոց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ժամանակին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արձագանքելով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ներկայացված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2.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Գրառել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միջադեպերը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հետևել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լուծմանը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այս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իրականացման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կօգտագործվի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գրանցման և կառավարման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գործիք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3.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Ներդնել միջադեպերի կառավարման մեխանիզմը եւ արդյունավետ իրականացնել այն,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4.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Վերլուծել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միջադեպերը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վերարտադրել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իրավիճակներ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ստուգել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փաստաթղթերը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, լուծել խնդիրները (եթե դա մտնում է 1 կամ 2 մակարդակի սպասարկման մեջ),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5.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Համագործակցել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լեհական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ընկերության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հետ՝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դիտանցել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դ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լուծումները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6.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Թերությունները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ներկայացնել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ընկերության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սպասարկման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դիտանցել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նրանց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7.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Լուծել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ենթակառուցվածքի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երրորդ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անձանց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համակարգերի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(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միացման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հնարավորությունները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համացանցային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բրաուզերների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հետ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կապված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խնդիրները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համացանցային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հավելումների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օգտագործումը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);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8.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գործունեության համար անհրաժեշտ հարակից սերվերների (DNS, MAIL, NTP) սպասարկումը;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9.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Փորձարկել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եւ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ներդնել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PWPW-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տրամադրված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ծրագրային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ուղղումները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փոփոխությունները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; 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10.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ru-RU"/>
              </w:rPr>
              <w:t>Իրականացնել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տեխնիական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աուդիտ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>;</w:t>
            </w:r>
          </w:p>
          <w:p w:rsidR="00CF703D" w:rsidRPr="00451534" w:rsidRDefault="00CF703D" w:rsidP="00CF703D">
            <w:pPr>
              <w:contextualSpacing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11.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Իրականացնել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Էլ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.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անձնագրերի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անխափան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hy-AM"/>
              </w:rPr>
              <w:t>և չընդհատվող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գործարկման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անհրաժեշտ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 w:cs="Sylfaen"/>
                <w:sz w:val="12"/>
                <w:szCs w:val="12"/>
              </w:rPr>
              <w:t>գործողություններ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</w:p>
          <w:p w:rsidR="00694D26" w:rsidRPr="00DD24DB" w:rsidRDefault="00CF703D" w:rsidP="00CF703D">
            <w:pPr>
              <w:spacing w:line="276" w:lineRule="auto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12.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Իրականացնել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նույնականացման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534">
              <w:rPr>
                <w:rFonts w:ascii="GHEA Grapalat" w:hAnsi="GHEA Grapalat"/>
                <w:sz w:val="12"/>
                <w:szCs w:val="12"/>
                <w:lang w:val="ru-RU"/>
              </w:rPr>
              <w:t>քարտերի</w:t>
            </w:r>
            <w:r w:rsidRPr="00451534">
              <w:rPr>
                <w:rFonts w:ascii="GHEA Grapalat" w:hAnsi="GHEA Grapalat"/>
                <w:sz w:val="12"/>
                <w:szCs w:val="12"/>
                <w:lang w:val="af-ZA"/>
              </w:rPr>
              <w:t xml:space="preserve"> համակարգի </w:t>
            </w:r>
            <w:r w:rsidRPr="00451534">
              <w:rPr>
                <w:rFonts w:ascii="GHEA Grapalat" w:hAnsi="GHEA Grapalat" w:cs="Sylfaen"/>
                <w:sz w:val="12"/>
                <w:szCs w:val="12"/>
                <w:lang w:val="af-ZA"/>
              </w:rPr>
              <w:t>զարգացման հետ կապված աշխատանքներ:</w:t>
            </w:r>
          </w:p>
        </w:tc>
      </w:tr>
      <w:tr w:rsidR="00D85740" w:rsidRPr="0019449B" w:rsidTr="00E36DC6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19449B" w:rsidTr="00E36DC6">
        <w:trPr>
          <w:trHeight w:val="137"/>
        </w:trPr>
        <w:tc>
          <w:tcPr>
            <w:tcW w:w="4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62727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627273">
              <w:rPr>
                <w:rFonts w:ascii="Arial LatArm" w:hAnsi="Arial LatArm"/>
                <w:bCs/>
                <w:sz w:val="14"/>
                <w:szCs w:val="14"/>
                <w:lang w:val="af-ZA"/>
              </w:rPr>
              <w:t>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19449B" w:rsidTr="00E36DC6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19449B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995F1F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627273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A066B8" w:rsidRPr="00627273" w:rsidRDefault="00627273" w:rsidP="006272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</w:t>
            </w:r>
            <w:r w:rsidRPr="00131CC9">
              <w:rPr>
                <w:rFonts w:ascii="GHEA Grapalat" w:hAnsi="GHEA Grapalat" w:cs="Sylfaen"/>
                <w:sz w:val="16"/>
                <w:szCs w:val="16"/>
                <w:lang w:val="pt-BR"/>
              </w:rPr>
              <w:t>«Էլեկտրոնային կառավարման ենթակառուցվածքների ներդրման գրասենյակ» ՓԲԸ</w:t>
            </w: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995F1F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62727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54 166 666.66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286" w:type="dxa"/>
            <w:gridSpan w:val="8"/>
            <w:shd w:val="clear" w:color="auto" w:fill="auto"/>
            <w:vAlign w:val="center"/>
          </w:tcPr>
          <w:p w:rsidR="00A066B8" w:rsidRPr="00131CC9" w:rsidRDefault="00627273" w:rsidP="00627273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10 833 333.33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627273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65 000</w:t>
            </w:r>
            <w:r w:rsidR="00754FD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19449B" w:rsidP="002333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19449B" w:rsidP="002333C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4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10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10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A066B8" w:rsidRPr="00627273" w:rsidRDefault="00627273" w:rsidP="006272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</w:t>
            </w:r>
            <w:r w:rsidRPr="00131CC9">
              <w:rPr>
                <w:rFonts w:ascii="GHEA Grapalat" w:hAnsi="GHEA Grapalat" w:cs="Sylfaen"/>
                <w:sz w:val="16"/>
                <w:szCs w:val="16"/>
                <w:lang w:val="pt-BR"/>
              </w:rPr>
              <w:t>«Էլեկտրոնային կառավարման ենթակառուցվածքների ներդրման գրասենյակ» ՓԲԸ</w:t>
            </w: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7" w:type="dxa"/>
            <w:gridSpan w:val="10"/>
            <w:vMerge w:val="restart"/>
            <w:shd w:val="clear" w:color="auto" w:fill="auto"/>
          </w:tcPr>
          <w:p w:rsidR="00A066B8" w:rsidRPr="00627273" w:rsidRDefault="00627273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27273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 Ո ԲԸԱՀ-ԾՁԲ-ԷԱ/2015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19449B" w:rsidP="002333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2333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82C0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627273" w:rsidP="00995F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65 000</w:t>
            </w:r>
            <w:r w:rsidR="00754FD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627273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65 000</w:t>
            </w:r>
            <w:r w:rsidR="00754FD0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627273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7940" w:rsidRPr="007C65E9" w:rsidTr="00627273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C04A6" w:rsidRDefault="008079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940" w:rsidRPr="00627273" w:rsidRDefault="00627273" w:rsidP="006272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</w:t>
            </w:r>
            <w:r w:rsidRPr="00131CC9">
              <w:rPr>
                <w:rFonts w:ascii="GHEA Grapalat" w:hAnsi="GHEA Grapalat" w:cs="Sylfaen"/>
                <w:sz w:val="16"/>
                <w:szCs w:val="16"/>
                <w:lang w:val="pt-BR"/>
              </w:rPr>
              <w:t>«Էլեկտրոնային կառավարման ենթակառուցվածքների ներդրման գրասենյակ» ՓԲԸ</w:t>
            </w:r>
            <w:r w:rsidRPr="0062727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27273" w:rsidRDefault="00627273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31C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131CC9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62727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31CC9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r w:rsidRPr="0062727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31CC9">
              <w:rPr>
                <w:rFonts w:ascii="GHEA Grapalat" w:hAnsi="GHEA Grapalat"/>
                <w:b/>
                <w:sz w:val="14"/>
                <w:szCs w:val="14"/>
              </w:rPr>
              <w:t>Հրապարակ</w:t>
            </w:r>
            <w:r w:rsidRPr="0062727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31CC9"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r w:rsidRPr="0062727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31CC9"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  <w:r w:rsidRPr="0062727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627273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157</w:t>
            </w:r>
            <w:r w:rsidRPr="00F24E9B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0004596000100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627273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F24E9B">
              <w:rPr>
                <w:rFonts w:ascii="GHEA Grapalat" w:hAnsi="GHEA Grapalat"/>
                <w:b/>
                <w:i/>
                <w:sz w:val="16"/>
                <w:szCs w:val="16"/>
              </w:rPr>
              <w:t>02707093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2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5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BF" w:rsidRDefault="00A961BF">
      <w:r>
        <w:separator/>
      </w:r>
    </w:p>
  </w:endnote>
  <w:endnote w:type="continuationSeparator" w:id="1">
    <w:p w:rsidR="00A961BF" w:rsidRDefault="00A9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53E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53E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49B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BF" w:rsidRDefault="00A961BF">
      <w:r>
        <w:separator/>
      </w:r>
    </w:p>
  </w:footnote>
  <w:footnote w:type="continuationSeparator" w:id="1">
    <w:p w:rsidR="00A961BF" w:rsidRDefault="00A96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2601FF2"/>
    <w:multiLevelType w:val="hybridMultilevel"/>
    <w:tmpl w:val="E7F2B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AD5FE4"/>
    <w:multiLevelType w:val="hybridMultilevel"/>
    <w:tmpl w:val="D6B8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2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600D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D7E71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1468"/>
    <w:rsid w:val="00185136"/>
    <w:rsid w:val="001860C6"/>
    <w:rsid w:val="001860E9"/>
    <w:rsid w:val="0019449B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33C0"/>
    <w:rsid w:val="00237045"/>
    <w:rsid w:val="00237D02"/>
    <w:rsid w:val="00242224"/>
    <w:rsid w:val="00242F71"/>
    <w:rsid w:val="00245FAF"/>
    <w:rsid w:val="00246BE4"/>
    <w:rsid w:val="00246BE5"/>
    <w:rsid w:val="00265287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295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25F7D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27273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4FD0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92E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53ED4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1BF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CF703D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6F2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3A55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100</cp:revision>
  <cp:lastPrinted>2014-09-29T12:35:00Z</cp:lastPrinted>
  <dcterms:created xsi:type="dcterms:W3CDTF">2012-10-09T06:25:00Z</dcterms:created>
  <dcterms:modified xsi:type="dcterms:W3CDTF">2014-12-29T13:03:00Z</dcterms:modified>
</cp:coreProperties>
</file>