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395873" w:rsidRPr="0057678F">
        <w:rPr>
          <w:rFonts w:ascii="GHEA Grapalat" w:hAnsi="GHEA Grapalat"/>
          <w:b/>
          <w:sz w:val="20"/>
          <w:lang w:val="af-ZA"/>
        </w:rPr>
        <w:t>ՀՀ ԿԱ Ո ՊԸԾՁԲ-201</w:t>
      </w:r>
      <w:r w:rsidR="00395873">
        <w:rPr>
          <w:rFonts w:ascii="GHEA Grapalat" w:hAnsi="GHEA Grapalat"/>
          <w:b/>
          <w:sz w:val="20"/>
          <w:lang w:val="af-ZA"/>
        </w:rPr>
        <w:t>5</w:t>
      </w:r>
      <w:r w:rsidR="00395873" w:rsidRPr="0057678F">
        <w:rPr>
          <w:rFonts w:ascii="GHEA Grapalat" w:hAnsi="GHEA Grapalat"/>
          <w:b/>
          <w:sz w:val="20"/>
          <w:lang w:val="af-ZA"/>
        </w:rPr>
        <w:t>/ՃՈ-</w:t>
      </w:r>
      <w:r w:rsidR="00395873">
        <w:rPr>
          <w:rFonts w:ascii="GHEA Grapalat" w:hAnsi="GHEA Grapalat"/>
          <w:b/>
          <w:sz w:val="20"/>
          <w:lang w:val="af-ZA"/>
        </w:rPr>
        <w:t>ՍԾ</w:t>
      </w:r>
      <w:r w:rsidR="00395873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395873" w:rsidRPr="0057678F">
        <w:rPr>
          <w:rFonts w:ascii="GHEA Grapalat" w:hAnsi="GHEA Grapalat"/>
          <w:b/>
          <w:sz w:val="20"/>
          <w:lang w:val="af-ZA"/>
        </w:rPr>
        <w:t>ՀՀ ԿԱ Ո ՊԸԾՁԲ-201</w:t>
      </w:r>
      <w:r w:rsidR="00395873">
        <w:rPr>
          <w:rFonts w:ascii="GHEA Grapalat" w:hAnsi="GHEA Grapalat"/>
          <w:b/>
          <w:sz w:val="20"/>
          <w:lang w:val="af-ZA"/>
        </w:rPr>
        <w:t>5</w:t>
      </w:r>
      <w:r w:rsidR="00395873" w:rsidRPr="0057678F">
        <w:rPr>
          <w:rFonts w:ascii="GHEA Grapalat" w:hAnsi="GHEA Grapalat"/>
          <w:b/>
          <w:sz w:val="20"/>
          <w:lang w:val="af-ZA"/>
        </w:rPr>
        <w:t>/ՃՈ-</w:t>
      </w:r>
      <w:r w:rsidR="00395873">
        <w:rPr>
          <w:rFonts w:ascii="GHEA Grapalat" w:hAnsi="GHEA Grapalat"/>
          <w:b/>
          <w:sz w:val="20"/>
          <w:lang w:val="af-ZA"/>
        </w:rPr>
        <w:t>ՍԾ</w:t>
      </w:r>
      <w:r w:rsidR="00395873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873" w:rsidRPr="00395873" w:rsidTr="00A03389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95873" w:rsidRPr="00766D3C" w:rsidRDefault="00395873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66D3C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5873" w:rsidRPr="0046587A" w:rsidRDefault="00395873" w:rsidP="0005278B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it-IT"/>
              </w:rPr>
            </w:pPr>
            <w:r w:rsidRPr="0046587A">
              <w:rPr>
                <w:rFonts w:ascii="GHEA Grapalat" w:hAnsi="GHEA Grapalat"/>
                <w:sz w:val="14"/>
                <w:szCs w:val="14"/>
                <w:lang w:val="it-IT"/>
              </w:rPr>
              <w:t>Ճանապարհային ոստիկանության վարչական մասի, 1-ին ու 2-րդ սպայական գումարտակների</w:t>
            </w:r>
            <w:r w:rsidRPr="0046587A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  <w:r w:rsidRPr="0046587A">
              <w:rPr>
                <w:rFonts w:ascii="GHEA Grapalat" w:hAnsi="GHEA Grapalat"/>
                <w:sz w:val="14"/>
                <w:szCs w:val="14"/>
                <w:lang w:val="it-IT"/>
              </w:rPr>
              <w:t xml:space="preserve"> ո</w:t>
            </w:r>
            <w:r w:rsidRPr="0046587A">
              <w:rPr>
                <w:rFonts w:ascii="GHEA Grapalat" w:hAnsi="GHEA Grapalat"/>
                <w:sz w:val="14"/>
                <w:szCs w:val="14"/>
              </w:rPr>
              <w:t>ւ</w:t>
            </w:r>
            <w:r w:rsidRPr="0046587A">
              <w:rPr>
                <w:rFonts w:ascii="GHEA Grapalat" w:hAnsi="GHEA Grapalat"/>
                <w:sz w:val="14"/>
                <w:szCs w:val="14"/>
                <w:lang w:val="it-IT"/>
              </w:rPr>
              <w:t>ղեկցող սպայական վաշտի,ՊՀՎ ՎԳԲ և Երևանի ՀՔԲ-ի վարչական շենքերի ու դրանց հարող  տարածքների սպասարկման ծառայությունների</w:t>
            </w:r>
          </w:p>
          <w:p w:rsidR="00395873" w:rsidRPr="0046587A" w:rsidRDefault="00395873" w:rsidP="000527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it-IT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972222" w:rsidRDefault="00395873" w:rsidP="0005278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227635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DF5F94" w:rsidRDefault="00395873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227635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227635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20 000 000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/>
                <w:sz w:val="12"/>
                <w:szCs w:val="12"/>
                <w:lang w:val="it-IT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Ճանապարհային ոստիկանության վարչական մասի, 1-ին ու 2-րդ սպայական գումարտակների</w:t>
            </w:r>
            <w:r w:rsidRPr="00395873">
              <w:rPr>
                <w:rFonts w:ascii="GHEA Grapalat" w:hAnsi="GHEA Grapalat"/>
                <w:sz w:val="12"/>
                <w:szCs w:val="12"/>
                <w:lang w:val="pt-BR"/>
              </w:rPr>
              <w:t>,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 ո</w:t>
            </w:r>
            <w:r w:rsidRPr="00395873">
              <w:rPr>
                <w:rFonts w:ascii="GHEA Grapalat" w:hAnsi="GHEA Grapalat"/>
                <w:sz w:val="12"/>
                <w:szCs w:val="12"/>
                <w:lang w:val="hy-AM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ղեկցող սպայական վաշտի,ՊՀՎ ՎԳԲ և Երևանի ՀՔԲ-ի վարչական շենքերի ու դրանց հարող  տարածքների սպասարկման ծառայությունների</w:t>
            </w:r>
          </w:p>
          <w:p w:rsidR="00395873" w:rsidRPr="00395873" w:rsidRDefault="00395873" w:rsidP="0005278B">
            <w:pPr>
              <w:ind w:left="75" w:hanging="180"/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Գնման առարկա է հանդիսանում Ճանապարհային ոստիկանության վարչական շենքի, 1-ին և 2-րդ սպայական գումարտակների, 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ո</w:t>
            </w:r>
            <w:r w:rsidRPr="00395873">
              <w:rPr>
                <w:rFonts w:ascii="GHEA Grapalat" w:hAnsi="GHEA Grapalat"/>
                <w:sz w:val="12"/>
                <w:szCs w:val="12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ղեկցող սպայական վաշտի և Երևանի ՀՔԲ-ի վարչական շենքերի ու դրանց հարող  տարածքների 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տեխնիկական սպասարկման,</w:t>
            </w:r>
            <w:r w:rsidRPr="00395873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95873">
              <w:rPr>
                <w:rFonts w:ascii="GHEA Grapalat" w:hAnsi="GHEA Grapalat"/>
                <w:sz w:val="12"/>
                <w:szCs w:val="12"/>
              </w:rPr>
              <w:t>և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 վերանորոգման ծառայությունների մատուցումը, որի ընթացքում պետք է կատարվի հետևյալ աշխատանքները.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1. Սանմաքրման և փականագործական աշխատանքներ`  </w:t>
            </w:r>
          </w:p>
          <w:p w:rsidR="00395873" w:rsidRPr="00395873" w:rsidRDefault="00395873" w:rsidP="00395873">
            <w:pPr>
              <w:numPr>
                <w:ilvl w:val="0"/>
                <w:numId w:val="42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բոլոր հարկերի և ընդհանուր օգտագործման սանհանգույցների, կոյուղու, լվացարանների ծորակների,ջրագծերի և ջրի պոմպակայանի անխափան աշխատանքների կազմակերպում և վերանորոգում.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>2. Էլեկտրականություն և  կապ`</w:t>
            </w:r>
          </w:p>
          <w:p w:rsidR="00395873" w:rsidRPr="00395873" w:rsidRDefault="00395873" w:rsidP="00395873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Էլեկտրամոնտաժային և կապի վնասվածքների (էլեկտրոդետալների) վերանորոգում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 օգտագործման և արտաքին տարածքների լուսավորության դետալների վերանորոգում կամ նորով փոխարինում: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 xml:space="preserve">3. Հյուսնի և այլ օժանդակ բանվորական աշխատանքներ` 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գրասենյակային  գույքերի, դռների, </w:t>
            </w: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պատուհանների, տանիքի մասնակի նորոգման աշխատանքներ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պատերի առաջացած վնասվացքների վերանորոգում և առկա թերությունների հարդարում.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հատակի /լամինատե կամ մանրափայտե/ և առաստաղի ընթացիկ նորոգում, հիմնական կամ կախովի առաստաղների 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երեսապատման սալիկների կամ հատակի սալիկների 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տարածքի պահպանմանն ուղղված ընթացիկ վերանորոգման աշխատանքների կատարում: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4.Աշխատանքների կատարման ծավալները Պատվիրատուի կողմից ներկայացվելու է վերանորոգման պահանջարկը առաջանալու դեպքում 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Պարտադիր պայման` նորոգման ընթացքում օգտագործվող և փոխարինվող դետալները պետք է լինեն նոր, չօգտագործված:</w:t>
            </w:r>
          </w:p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/>
                <w:sz w:val="12"/>
                <w:szCs w:val="12"/>
                <w:lang w:val="it-IT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lastRenderedPageBreak/>
              <w:t>Ճանապարհային ոստիկանության վարչական մասի, 1-ին ու 2-րդ սպայական գումարտակների</w:t>
            </w:r>
            <w:r w:rsidRPr="00395873">
              <w:rPr>
                <w:rFonts w:ascii="GHEA Grapalat" w:hAnsi="GHEA Grapalat"/>
                <w:sz w:val="12"/>
                <w:szCs w:val="12"/>
                <w:lang w:val="pt-BR"/>
              </w:rPr>
              <w:t>,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 ո</w:t>
            </w:r>
            <w:r w:rsidRPr="00395873">
              <w:rPr>
                <w:rFonts w:ascii="GHEA Grapalat" w:hAnsi="GHEA Grapalat"/>
                <w:sz w:val="12"/>
                <w:szCs w:val="12"/>
                <w:lang w:val="hy-AM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ղեկցող սպայական վաշտի,ՊՀՎ ՎԳԲ և Երևանի ՀՔԲ-ի վարչական շենքերի ու դրանց հարող  տարածքների սպասարկման ծառայությունների</w:t>
            </w:r>
          </w:p>
          <w:p w:rsidR="00395873" w:rsidRPr="00395873" w:rsidRDefault="00395873" w:rsidP="0005278B">
            <w:pPr>
              <w:ind w:left="75" w:hanging="180"/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Գնման առարկա է հանդիսանում Ճանապարհային ոստիկանության վարչական շենքի, 1-ին և 2-րդ սպայական գումարտակների, 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ո</w:t>
            </w:r>
            <w:r w:rsidRPr="00395873">
              <w:rPr>
                <w:rFonts w:ascii="GHEA Grapalat" w:hAnsi="GHEA Grapalat"/>
                <w:sz w:val="12"/>
                <w:szCs w:val="12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ղեկցող սպայական վաշտի և Երևանի ՀՔԲ-ի վարչական շենքերի ու դրանց հարող  տարածքների 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տեխնիկական սպասարկման,</w:t>
            </w:r>
            <w:r w:rsidRPr="00395873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95873">
              <w:rPr>
                <w:rFonts w:ascii="GHEA Grapalat" w:hAnsi="GHEA Grapalat"/>
                <w:sz w:val="12"/>
                <w:szCs w:val="12"/>
              </w:rPr>
              <w:t>և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 վերանորոգման ծառայությունների մատուցումը, որի ընթացքում պետք է կատարվի հետևյալ աշխատանքները.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1. Սանմաքրման և փականագործական աշխատանքներ`  </w:t>
            </w:r>
          </w:p>
          <w:p w:rsidR="00395873" w:rsidRPr="00395873" w:rsidRDefault="00395873" w:rsidP="0005278B">
            <w:pPr>
              <w:numPr>
                <w:ilvl w:val="0"/>
                <w:numId w:val="42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բոլոր հարկերի և ընդհանուր օգտագործման սանհանգույցների, կոյուղու, լվացարանների ծորակների,ջրագծերի և ջրի պոմպակայանի անխափան աշխատանքների կազմակերպում և վերանորոգում.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>2. Էլեկտրականություն և  կապ`</w:t>
            </w:r>
          </w:p>
          <w:p w:rsidR="00395873" w:rsidRPr="00395873" w:rsidRDefault="00395873" w:rsidP="0005278B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Էլեկտրամոնտաժային և կապի վնասվածքների (էլեկտրոդետալների) վերանորոգում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 օգտագործման և արտաքին տարածքների լուսավորության դետալների վերանորոգում կամ նորով փոխարինում: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 xml:space="preserve">3. Հյուսնի և այլ օժանդակ բանվորական աշխատանքներ` 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գրասենյակային  գույքերի, դռների, </w:t>
            </w: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պատուհանների, տանիքի մասնակի նորոգման աշխատանքներ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պատերի առաջացած վնասվացքների վերանորոգում և առկա թերությունների հարդարում.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հատակի /լամինատե կամ մանրափայտե/ և առաստաղի ընթացիկ նորոգում, հիմնական կամ կախովի առաստաղների 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երեսապատման սալիկների կամ հատակի սալիկների 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տարածքի պահպանմանն ուղղված ընթացիկ վերանորոգման աշխատանքների կատարում: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4.Աշխատանքների կատարման ծավալները Պատվիրատուի կողմից ներկայացվելու է վերանորոգման պահանջարկը առաջանալու դեպքում 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Պարտադիր պայման` նորոգման ընթացքում օգտագործվող և փոխարինվող դետալները պետք է լինեն նոր, չօգտագործված:</w:t>
            </w:r>
          </w:p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</w:tr>
      <w:tr w:rsidR="005C55CC" w:rsidRPr="00395873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446EA2" w:rsidRDefault="00CA023A" w:rsidP="0039587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395873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5C55CC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395873"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395873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95873" w:rsidRPr="00D31737" w:rsidRDefault="00395873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95873" w:rsidRPr="0046587A" w:rsidRDefault="00395873" w:rsidP="0005278B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46587A">
              <w:rPr>
                <w:rFonts w:ascii="GHEA Grapalat" w:hAnsi="GHEA Grapalat" w:cs="Sylfaen"/>
                <w:sz w:val="12"/>
                <w:szCs w:val="12"/>
                <w:lang w:val="hy-AM"/>
              </w:rPr>
              <w:t>«ՋԵԹ-ՍԵԹ»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95873" w:rsidRPr="00307CA0" w:rsidRDefault="00395873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95873" w:rsidRPr="00307CA0" w:rsidRDefault="0039587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20 000 000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395873" w:rsidRPr="00CA023A" w:rsidRDefault="00395873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395873" w:rsidRPr="00CA023A" w:rsidRDefault="0039587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395873" w:rsidRPr="00307CA0" w:rsidRDefault="0039587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95873" w:rsidRPr="00307CA0" w:rsidRDefault="0039587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20 000 000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395873" w:rsidP="003958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374C02">
            <w:pPr>
              <w:jc w:val="center"/>
            </w:pPr>
            <w:r>
              <w:t>-</w:t>
            </w:r>
          </w:p>
        </w:tc>
      </w:tr>
      <w:tr w:rsidR="003958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873" w:rsidRPr="00ED6F12" w:rsidRDefault="003958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873" w:rsidRPr="00ED6F12" w:rsidRDefault="00395873" w:rsidP="003958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.01.2015թ.</w:t>
            </w:r>
          </w:p>
        </w:tc>
      </w:tr>
      <w:tr w:rsidR="003958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873" w:rsidRPr="00ED6F12" w:rsidRDefault="003958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873" w:rsidRPr="00ED6F12" w:rsidRDefault="00395873" w:rsidP="003958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.01.2015թ.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395873" w:rsidRPr="00D31737" w:rsidTr="005C4ACF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873" w:rsidRPr="004A42C8" w:rsidRDefault="003958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395873" w:rsidRPr="0046587A" w:rsidRDefault="00395873" w:rsidP="0005278B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46587A">
              <w:rPr>
                <w:rFonts w:ascii="GHEA Grapalat" w:hAnsi="GHEA Grapalat" w:cs="Sylfaen"/>
                <w:sz w:val="12"/>
                <w:szCs w:val="12"/>
                <w:lang w:val="hy-AM"/>
              </w:rPr>
              <w:t>«ՋԵԹ-ՍԵԹ»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95873" w:rsidRPr="00395873" w:rsidRDefault="00395873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395873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ՀՀ ԿԱ Ո ՊԸԾՁԲ-2015/ՃՈ-ՍԾ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95873" w:rsidRPr="00ED6F12" w:rsidRDefault="00395873" w:rsidP="003958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95873" w:rsidRPr="00D31737" w:rsidRDefault="00395873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395873" w:rsidRPr="00D31737" w:rsidRDefault="003958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73" w:rsidRPr="00307CA0" w:rsidRDefault="0039587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873" w:rsidRPr="00307CA0" w:rsidRDefault="00395873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20 000 000</w:t>
            </w:r>
          </w:p>
        </w:tc>
      </w:tr>
      <w:tr w:rsidR="005C55C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95873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6C04A6" w:rsidRDefault="00395873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5873" w:rsidRPr="0046587A" w:rsidRDefault="00395873" w:rsidP="0005278B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46587A">
              <w:rPr>
                <w:rFonts w:ascii="GHEA Grapalat" w:hAnsi="GHEA Grapalat" w:cs="Sylfaen"/>
                <w:sz w:val="12"/>
                <w:szCs w:val="12"/>
                <w:lang w:val="hy-AM"/>
              </w:rPr>
              <w:t>«ՋԵԹ-ՍԵԹ»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6587A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ք.Երևան Այգեձոր 1-նրբ, տուն 56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</w:pPr>
            <w:r w:rsidRPr="0046587A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6587A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220090127675000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46587A" w:rsidRDefault="00395873" w:rsidP="00052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6587A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00253766</w:t>
            </w: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9A7" w:rsidRDefault="00DF69A7">
      <w:r>
        <w:separator/>
      </w:r>
    </w:p>
  </w:endnote>
  <w:endnote w:type="continuationSeparator" w:id="1">
    <w:p w:rsidR="00DF69A7" w:rsidRDefault="00DF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E75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E75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873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9A7" w:rsidRDefault="00DF69A7">
      <w:r>
        <w:separator/>
      </w:r>
    </w:p>
  </w:footnote>
  <w:footnote w:type="continuationSeparator" w:id="1">
    <w:p w:rsidR="00DF69A7" w:rsidRDefault="00DF6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2014-08-28T10:57:00Z</cp:lastPrinted>
  <dcterms:created xsi:type="dcterms:W3CDTF">2012-10-09T06:25:00Z</dcterms:created>
  <dcterms:modified xsi:type="dcterms:W3CDTF">2015-01-15T07:42:00Z</dcterms:modified>
</cp:coreProperties>
</file>