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133B3E">
        <w:rPr>
          <w:rFonts w:ascii="GHEA Grapalat" w:hAnsi="GHEA Grapalat" w:cs="Sylfaen"/>
          <w:b/>
          <w:szCs w:val="24"/>
        </w:rPr>
        <w:t>6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87426F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E9549F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E9549F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1C6DA6">
        <w:rPr>
          <w:rFonts w:ascii="GHEA Grapalat" w:hAnsi="GHEA Grapalat" w:cs="Sylfaen"/>
          <w:szCs w:val="24"/>
          <w:lang w:val="pt-BR"/>
        </w:rPr>
        <w:t>«</w:t>
      </w:r>
      <w:r w:rsidR="001C6DA6">
        <w:rPr>
          <w:rFonts w:ascii="GHEA Grapalat" w:hAnsi="GHEA Grapalat" w:cs="Sylfaen"/>
          <w:szCs w:val="24"/>
        </w:rPr>
        <w:t>ՎԵՅՎ</w:t>
      </w:r>
      <w:r w:rsidR="001C6DA6" w:rsidRPr="006B7759">
        <w:rPr>
          <w:rFonts w:ascii="GHEA Grapalat" w:hAnsi="GHEA Grapalat" w:cs="Sylfaen"/>
          <w:szCs w:val="24"/>
          <w:lang w:val="pt-BR"/>
        </w:rPr>
        <w:t>»</w:t>
      </w:r>
      <w:r w:rsidR="001C6DA6">
        <w:rPr>
          <w:rFonts w:ascii="GHEA Grapalat" w:hAnsi="GHEA Grapalat" w:cs="Sylfaen"/>
          <w:szCs w:val="24"/>
          <w:lang w:val="pt-BR"/>
        </w:rPr>
        <w:t xml:space="preserve"> ՍՊ</w:t>
      </w:r>
      <w:r w:rsidR="001C6DA6">
        <w:rPr>
          <w:rFonts w:ascii="GHEA Grapalat" w:hAnsi="GHEA Grapalat" w:cs="Sylfaen"/>
          <w:szCs w:val="24"/>
        </w:rPr>
        <w:t>Ը</w:t>
      </w:r>
      <w:r w:rsidR="001C6DA6" w:rsidRPr="00A90160">
        <w:rPr>
          <w:rFonts w:ascii="GHEA Grapalat" w:hAnsi="GHEA Grapalat" w:cs="Sylfaen"/>
          <w:szCs w:val="24"/>
          <w:lang w:val="pt-BR"/>
        </w:rPr>
        <w:t>-ն</w:t>
      </w:r>
      <w:r w:rsidR="001C6DA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C6DA6">
        <w:rPr>
          <w:rFonts w:ascii="GHEA Grapalat" w:hAnsi="GHEA Grapalat" w:cs="Sylfaen"/>
          <w:szCs w:val="24"/>
          <w:lang w:val="pt-BR"/>
        </w:rPr>
        <w:t xml:space="preserve"> </w:t>
      </w:r>
      <w:r w:rsidR="001C6DA6">
        <w:rPr>
          <w:rFonts w:ascii="GHEA Grapalat" w:hAnsi="GHEA Grapalat" w:cs="Sylfaen"/>
          <w:szCs w:val="24"/>
        </w:rPr>
        <w:t>Արսեն</w:t>
      </w:r>
      <w:r w:rsidR="001C6DA6">
        <w:rPr>
          <w:rFonts w:ascii="GHEA Grapalat" w:hAnsi="GHEA Grapalat" w:cs="Sylfaen"/>
          <w:szCs w:val="24"/>
          <w:lang w:val="pt-BR"/>
        </w:rPr>
        <w:t xml:space="preserve"> Քոթանջյանի</w:t>
      </w:r>
      <w:r w:rsidR="001C6DA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87426F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9474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9474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9474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C6DA6" w:rsidRPr="007C1553" w:rsidRDefault="001C6DA6" w:rsidP="001C6DA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ք. Երևան, Մ. Ավետիսյան 2փ., 46/3</w:t>
            </w:r>
          </w:p>
          <w:p w:rsidR="001C6DA6" w:rsidRPr="007C1553" w:rsidRDefault="001C6DA6" w:rsidP="001C6DA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«ՎՏԲ-Հայաստան Բանկ» ՓԲԸ</w:t>
            </w:r>
          </w:p>
          <w:p w:rsidR="001C6DA6" w:rsidRPr="007C1553" w:rsidRDefault="001C6DA6" w:rsidP="001C6DA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Հ/Հ 16067009393100</w:t>
            </w:r>
          </w:p>
          <w:p w:rsidR="001C6DA6" w:rsidRPr="007C1553" w:rsidRDefault="001C6DA6" w:rsidP="001C6DA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ՀՎՀՀ 00887626</w:t>
            </w:r>
          </w:p>
          <w:p w:rsidR="001C6DA6" w:rsidRPr="007C1553" w:rsidRDefault="001C6DA6" w:rsidP="001C6DA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Pr="007C1553">
              <w:rPr>
                <w:rStyle w:val="Hyperlink"/>
                <w:sz w:val="22"/>
                <w:szCs w:val="22"/>
                <w:lang w:val="es-ES"/>
              </w:rPr>
              <w:t>wavegnumner@mail.ru</w:t>
            </w:r>
          </w:p>
          <w:p w:rsidR="001C6DA6" w:rsidRPr="003E3168" w:rsidRDefault="001C6DA6" w:rsidP="001C6D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Հեռ. (093)503993</w:t>
            </w:r>
          </w:p>
          <w:p w:rsidR="001C6DA6" w:rsidRPr="007539E2" w:rsidRDefault="001C6DA6" w:rsidP="001C6DA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C6DA6" w:rsidRPr="001C6DA6" w:rsidRDefault="001C6DA6" w:rsidP="001C6DA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C6DA6" w:rsidRPr="001C6DA6" w:rsidRDefault="001C6DA6" w:rsidP="001C6DA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C6DA6" w:rsidRPr="009D3635" w:rsidRDefault="001C6DA6" w:rsidP="001C6D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C6DA6" w:rsidRPr="00A90160" w:rsidRDefault="001C6DA6" w:rsidP="001C6DA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C6DA6" w:rsidRPr="00BB29E5" w:rsidRDefault="001C6DA6" w:rsidP="001C6DA6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AC349D">
              <w:rPr>
                <w:rFonts w:ascii="GHEA Grapalat" w:hAnsi="GHEA Grapalat" w:cs="Sylfaen"/>
                <w:sz w:val="22"/>
                <w:szCs w:val="22"/>
                <w:lang w:val="hy-AM"/>
              </w:rPr>
              <w:t>Ա. Քոթանջյան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33B3E"/>
    <w:rsid w:val="001C6DA6"/>
    <w:rsid w:val="002A3499"/>
    <w:rsid w:val="002B5681"/>
    <w:rsid w:val="00323BB6"/>
    <w:rsid w:val="003D59B1"/>
    <w:rsid w:val="00477D6A"/>
    <w:rsid w:val="005D5AE0"/>
    <w:rsid w:val="005E7106"/>
    <w:rsid w:val="00611809"/>
    <w:rsid w:val="00670418"/>
    <w:rsid w:val="007D5FDF"/>
    <w:rsid w:val="0087426F"/>
    <w:rsid w:val="009170D4"/>
    <w:rsid w:val="009524A4"/>
    <w:rsid w:val="009F4EEC"/>
    <w:rsid w:val="009F5636"/>
    <w:rsid w:val="00A52C7B"/>
    <w:rsid w:val="00A9474C"/>
    <w:rsid w:val="00B12F08"/>
    <w:rsid w:val="00B85332"/>
    <w:rsid w:val="00C648E2"/>
    <w:rsid w:val="00CC1ACC"/>
    <w:rsid w:val="00E152C4"/>
    <w:rsid w:val="00E8178A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2015-03-29T06:59:00Z</dcterms:created>
  <dcterms:modified xsi:type="dcterms:W3CDTF">2015-04-02T20:09:00Z</dcterms:modified>
</cp:coreProperties>
</file>