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CA2B8E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A2B8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CA2B8E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CA2B8E">
        <w:rPr>
          <w:rFonts w:ascii="GHEA Grapalat" w:hAnsi="GHEA Grapalat"/>
          <w:i/>
          <w:sz w:val="24"/>
          <w:szCs w:val="24"/>
          <w:lang w:val="ru-RU"/>
        </w:rPr>
        <w:t>ՇՀ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CA2B8E" w:rsidRPr="00CA2B8E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CA2B8E" w:rsidRPr="00CA2B8E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CA2B8E" w:rsidRPr="00CA2B8E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CA2B8E" w:rsidRPr="00CA2B8E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CA2B8E" w:rsidRPr="00CA2B8E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CA2B8E" w:rsidRPr="00CA2B8E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CA2B8E" w:rsidRPr="00CA2B8E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CA2B8E" w:rsidRPr="00CA2B8E">
        <w:rPr>
          <w:rFonts w:ascii="GHEA Grapalat" w:hAnsi="GHEA Grapalat" w:cs="Sylfaen"/>
          <w:i/>
          <w:sz w:val="24"/>
          <w:szCs w:val="24"/>
          <w:lang w:val="af-ZA"/>
        </w:rPr>
        <w:t>-11/9/2015/ՃՈ/Մ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է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/>
          <w:b w:val="0"/>
          <w:sz w:val="20"/>
          <w:lang w:val="ru-RU"/>
        </w:rPr>
        <w:t>Նալբանդյան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130 </w:t>
      </w:r>
      <w:r w:rsidRPr="00CA2B8E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, </w:t>
      </w:r>
      <w:r w:rsidRPr="00CA2B8E">
        <w:rPr>
          <w:rFonts w:ascii="GHEA Grapalat" w:hAnsi="GHEA Grapalat" w:cs="Sylfaen"/>
          <w:b w:val="0"/>
          <w:sz w:val="20"/>
          <w:lang w:val="af-ZA"/>
        </w:rPr>
        <w:t>ստոր</w:t>
      </w:r>
      <w:r w:rsidRPr="00CA2B8E">
        <w:rPr>
          <w:rFonts w:ascii="GHEA Grapalat" w:hAnsi="GHEA Grapalat"/>
          <w:b w:val="0"/>
          <w:sz w:val="20"/>
          <w:lang w:val="ru-RU"/>
        </w:rPr>
        <w:t>և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է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="00CA2B8E" w:rsidRPr="00CA2B8E">
        <w:rPr>
          <w:rFonts w:ascii="GHEA Grapalat" w:hAnsi="GHEA Grapalat" w:cs="Sylfaen"/>
          <w:b w:val="0"/>
          <w:sz w:val="20"/>
          <w:lang w:val="hy-AM"/>
        </w:rPr>
        <w:t>ՀՀ</w:t>
      </w:r>
      <w:r w:rsidR="00CA2B8E" w:rsidRPr="00CA2B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A2B8E" w:rsidRPr="00CA2B8E">
        <w:rPr>
          <w:rFonts w:ascii="GHEA Grapalat" w:hAnsi="GHEA Grapalat" w:cs="Sylfaen"/>
          <w:b w:val="0"/>
          <w:sz w:val="20"/>
          <w:lang w:val="hy-AM"/>
        </w:rPr>
        <w:t>ԿԱ</w:t>
      </w:r>
      <w:r w:rsidR="00CA2B8E" w:rsidRPr="00CA2B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A2B8E" w:rsidRPr="00CA2B8E">
        <w:rPr>
          <w:rFonts w:ascii="GHEA Grapalat" w:hAnsi="GHEA Grapalat" w:cs="Sylfaen"/>
          <w:b w:val="0"/>
          <w:sz w:val="20"/>
          <w:lang w:val="hy-AM"/>
        </w:rPr>
        <w:t>Ո</w:t>
      </w:r>
      <w:r w:rsidR="00CA2B8E" w:rsidRPr="00CA2B8E">
        <w:rPr>
          <w:rFonts w:ascii="GHEA Grapalat" w:hAnsi="GHEA Grapalat" w:cs="Sylfaen"/>
          <w:b w:val="0"/>
          <w:sz w:val="20"/>
          <w:lang w:val="af-ZA"/>
        </w:rPr>
        <w:t>-</w:t>
      </w:r>
      <w:r w:rsidR="00CA2B8E" w:rsidRPr="00CA2B8E">
        <w:rPr>
          <w:rFonts w:ascii="GHEA Grapalat" w:hAnsi="GHEA Grapalat" w:cs="Sylfaen"/>
          <w:b w:val="0"/>
          <w:sz w:val="20"/>
          <w:lang w:val="hy-AM"/>
        </w:rPr>
        <w:t>ՇՀԾՁԲ</w:t>
      </w:r>
      <w:r w:rsidR="00CA2B8E" w:rsidRPr="00CA2B8E">
        <w:rPr>
          <w:rFonts w:ascii="GHEA Grapalat" w:hAnsi="GHEA Grapalat" w:cs="Sylfaen"/>
          <w:b w:val="0"/>
          <w:sz w:val="20"/>
          <w:lang w:val="af-ZA"/>
        </w:rPr>
        <w:t xml:space="preserve">-11/9/2015/ՃՈ/Մ </w:t>
      </w:r>
      <w:r w:rsidRPr="00CA2B8E">
        <w:rPr>
          <w:rFonts w:ascii="GHEA Grapalat" w:hAnsi="GHEA Grapalat" w:cs="Sylfaen"/>
          <w:b w:val="0"/>
          <w:sz w:val="20"/>
          <w:lang w:val="af-ZA"/>
        </w:rPr>
        <w:t>ծա</w:t>
      </w:r>
      <w:r w:rsidRPr="005B612B">
        <w:rPr>
          <w:rFonts w:ascii="GHEA Grapalat" w:hAnsi="GHEA Grapalat" w:cs="Sylfaen"/>
          <w:b w:val="0"/>
          <w:sz w:val="20"/>
          <w:lang w:val="af-ZA"/>
        </w:rPr>
        <w:t>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1EE" w:rsidRPr="005B612B" w:rsidTr="005F43D4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521EE" w:rsidRPr="00CB6400" w:rsidRDefault="00C521E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B8E" w:rsidRPr="00CA2B8E" w:rsidRDefault="00CA2B8E" w:rsidP="00CA2B8E">
            <w:pPr>
              <w:spacing w:after="240"/>
              <w:ind w:right="-89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ՃՈ</w:t>
            </w:r>
            <w:r w:rsidRPr="00CA2B8E">
              <w:rPr>
                <w:rFonts w:ascii="GHEA Grapalat" w:hAnsi="GHEA Grapalat"/>
                <w:sz w:val="14"/>
                <w:szCs w:val="14"/>
                <w:lang w:val="af-ZA"/>
              </w:rPr>
              <w:t>ավտոմոբիլների վրա տեղադրված էլեկտրասարքավորումների վերանորոգման ծառայություններ</w:t>
            </w:r>
          </w:p>
          <w:p w:rsidR="00C521EE" w:rsidRPr="00CA2B8E" w:rsidRDefault="00C521EE" w:rsidP="00273415">
            <w:pPr>
              <w:pStyle w:val="Heading1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AA47B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53"/>
            </w:tblGrid>
            <w:tr w:rsidR="00CA2B8E" w:rsidRPr="009C36A7" w:rsidTr="00C6313E">
              <w:trPr>
                <w:trHeight w:val="975"/>
                <w:jc w:val="center"/>
              </w:trPr>
              <w:tc>
                <w:tcPr>
                  <w:tcW w:w="1453" w:type="dxa"/>
                </w:tcPr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      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Գնման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առարկա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հանդիսանում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ՀՀ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ոստիկանության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ճանապարհային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ոստիկանությանը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պատկանող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375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միավոր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պարեկային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ծառայութուն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հատուկ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ուղեկցումներ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իրականացնող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ինչպես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նաև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ծառայողական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հետաքննչական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ավտոմոբիլների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վրա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տեղադրված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TBD-GA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տիպի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լուսաձայնային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սարքավորումների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Kenwood TK2306-7106, Motorola GM340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ռադիոկայանների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սպասարկման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մատուցումը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ընթացքում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օգտագործվող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պահեստամասերը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լինեն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ֆիրմայի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արտադրության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համարժեք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տիպի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չօգտագործված։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Մասնակիցը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ունենա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անհրաժեշտ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աշխատանքային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ռեսուրսներ՝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առնվազն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3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մասնագետ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աշխատողներ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կրթությամբ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առնվազն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2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կայանատեղով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տարածք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ավտոտնակ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ունենա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սարքեր՝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լյուքսմետր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օսցիլոգրաֆ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աղմկաչափ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մուլտիմետր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հաճախականաչափ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ռադիոալիքների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վերլուծիչ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որոնք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ստուգաչափված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լինեն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ՀՀ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չափագիտական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ազգային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ինստիտուտ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ՓԲԸ֊ի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կողմից։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Օգտագործելով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գործիքները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հարմարանքները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հետազոտի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էլեկտրական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սարքավորումները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դրանց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առանձին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գնահատի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դրանց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վիճակը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բացահայտի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չաշխատող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նշի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պատճառները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գնահատի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նորոգման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հնարավորությունը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աշխատանքների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ծավալը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: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Ըստ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անսարքության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բնույթի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ապամոնտաժի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կազմատի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սարքավորումը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վերացնի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անսարքությունը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`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կատարելով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նաև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միջանկյալ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ստուգումները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հավաքի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տեղադրի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նորոգված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lastRenderedPageBreak/>
                    <w:t>սարքավորումը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հանգույցը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կատարի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վերջնական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ստուգմում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փորձարկում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>: Սպասարկումը պետք է իրականացվի շուրջօրյա գրաֆիկով:</w:t>
                  </w:r>
                </w:p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    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սպասարկման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ընթացքում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կատարվող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հիմնական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օգտագործվող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պահեստամասերի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անվանումները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կցվում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են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` </w:t>
                  </w:r>
                </w:p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</w:p>
                <w:p w:rsidR="00CA2B8E" w:rsidRPr="009C36A7" w:rsidRDefault="00CA2B8E" w:rsidP="00273415">
                  <w:pPr>
                    <w:jc w:val="center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ՃՈ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ավտոմոբիլների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վրա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տեղադրված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էլեկտրասարքավորումների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  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օ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գտագործվող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պահեստամասերի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անվանումներ</w:t>
                  </w:r>
                </w:p>
                <w:p w:rsidR="00CA2B8E" w:rsidRPr="009C36A7" w:rsidRDefault="00CA2B8E" w:rsidP="00273415">
                  <w:pPr>
                    <w:jc w:val="both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</w:t>
                  </w:r>
                </w:p>
                <w:tbl>
                  <w:tblPr>
                    <w:tblW w:w="137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03"/>
                    <w:gridCol w:w="1072"/>
                  </w:tblGrid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1375" w:type="dxa"/>
                        <w:gridSpan w:val="2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b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b/>
                            <w:sz w:val="10"/>
                            <w:szCs w:val="10"/>
                          </w:rPr>
                          <w:t>Ծառայության անվանումը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դիագնոստիկա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մասնակի մասնատում/հավաքում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ամբողջական մասնատում և հավաքում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Քսենոնային լուսատուի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Հալոգենային լուսատուի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Բարձրախոսի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Քսենոնային լուսատուի ղեկավարման սարքի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Հալոգենային լուսատուի ղեկավարման վահանակի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լարանցումների անսարքության վերականգնում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CJB-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կենտրոնական կանտրոլերի 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11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CJB-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կենտրոնական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կանտրոլերի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ղեկավարման վահանակի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խոսափողի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/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մաքրում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12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Լամպի փոխարինում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13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դիագնոստիկա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14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ալեհավաքի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16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eastAsia="Arial Unicode MS" w:hAnsi="GHEA Grapalat" w:cs="Sylfaen"/>
                            <w:sz w:val="10"/>
                            <w:szCs w:val="10"/>
                          </w:rPr>
                          <w:t>Լուսաձայնային սարքավորումների պրոֆիլակտիկա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17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պրոֆիլակտիկա</w:t>
                        </w:r>
                      </w:p>
                    </w:tc>
                  </w:tr>
                  <w:tr w:rsidR="00CA2B8E" w:rsidRPr="009C36A7" w:rsidTr="00CA2B8E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CA2B8E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18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քսենոնային համակարգը լուսադիոդայինի փոխարինում մեկ տարվա երաշխիքով</w:t>
                        </w:r>
                      </w:p>
                    </w:tc>
                  </w:tr>
                </w:tbl>
                <w:p w:rsidR="00CA2B8E" w:rsidRPr="009C36A7" w:rsidRDefault="00CA2B8E" w:rsidP="00273415">
                  <w:pPr>
                    <w:jc w:val="both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   </w:t>
                  </w:r>
                </w:p>
                <w:p w:rsidR="00CA2B8E" w:rsidRPr="009C36A7" w:rsidRDefault="00CA2B8E" w:rsidP="00273415">
                  <w:pPr>
                    <w:jc w:val="center"/>
                    <w:rPr>
                      <w:rFonts w:ascii="GHEA Grapalat" w:hAnsi="GHEA Grapalat" w:cs="Sylfaen"/>
                      <w:b/>
                      <w:sz w:val="10"/>
                      <w:szCs w:val="10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sz w:val="10"/>
                      <w:szCs w:val="10"/>
                    </w:rPr>
                    <w:t>Պահեստամասեր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64"/>
                    <w:gridCol w:w="1199"/>
                  </w:tblGrid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19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Xenon Flash bulbs, քսենոնային լուսատու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20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Hal, Flash bulbs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 լուսատու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21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Membrance,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բարձրախոսի մեմբրան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22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P/supply controller, քսենոնային լուսատուների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lastRenderedPageBreak/>
                          <w:t>ղեկավարման սարք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HA 100,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բարձրախոս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24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Spare parts,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պահեստամասեր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25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CJB-կենտրոնական կոնտրոլլեր, ղեկավարման սարք</w:t>
                        </w:r>
                      </w:p>
                    </w:tc>
                  </w:tr>
                </w:tbl>
                <w:p w:rsidR="00CA2B8E" w:rsidRPr="00CA2B8E" w:rsidRDefault="00CA2B8E" w:rsidP="00273415">
                  <w:pPr>
                    <w:tabs>
                      <w:tab w:val="num" w:pos="90"/>
                    </w:tabs>
                    <w:spacing w:line="360" w:lineRule="auto"/>
                    <w:ind w:right="360"/>
                    <w:jc w:val="both"/>
                    <w:rPr>
                      <w:rFonts w:ascii="GHEA Grapalat" w:hAnsi="GHEA Grapalat"/>
                      <w:sz w:val="10"/>
                      <w:szCs w:val="10"/>
                    </w:rPr>
                  </w:pPr>
                </w:p>
              </w:tc>
            </w:tr>
          </w:tbl>
          <w:p w:rsidR="00C521EE" w:rsidRPr="00CA2B8E" w:rsidRDefault="00C521EE" w:rsidP="00273415">
            <w:pPr>
              <w:pStyle w:val="Heading1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53"/>
            </w:tblGrid>
            <w:tr w:rsidR="00CA2B8E" w:rsidRPr="009C36A7" w:rsidTr="00C6313E">
              <w:trPr>
                <w:trHeight w:val="975"/>
                <w:jc w:val="center"/>
              </w:trPr>
              <w:tc>
                <w:tcPr>
                  <w:tcW w:w="1453" w:type="dxa"/>
                </w:tcPr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lastRenderedPageBreak/>
                    <w:t xml:space="preserve">       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Գնման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առարկա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հանդիսանում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ՀՀ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ոստիկանության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ճանապարհային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ոստիկանությանը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պատկանող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375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միավոր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պարեկային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ծառայութուն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հատուկ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ուղեկցումներ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իրականացնող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ինչպես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նաև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ծառայողական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հետաքննչական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ավտոմոբիլների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վրա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տեղադրված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TBD-GA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տիպի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լուսաձայնային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սարքավորումների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Kenwood TK2306-7106, Motorola GM340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ռադիոկայանների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սպասարկման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մատուցումը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ընթացքում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օգտագործվող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պահեստամասերը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լինեն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ֆիրմայի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արտադրության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համարժեք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տիպի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չօգտագործված։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Մասնակիցը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ունենա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անհրաժեշտ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աշխատանքային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ռեսուրսներ՝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առնվազն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3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մասնագետ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աշխատողներ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կրթությամբ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առնվազն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2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կայանատեղով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տարածք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ավտոտնակ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ունենա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սարքեր՝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լյուքսմետր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օսցիլոգրաֆ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աղմկաչափ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մուլտիմետր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հաճախականաչափ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ռադիոալիքների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վերլուծիչ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որոնք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ստուգաչափված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լինեն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ՀՀ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չափագիտական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ազգային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ինստիտուտ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ՓԲԸ֊ի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eastAsia="Arial Unicode MS" w:hAnsi="GHEA Grapalat" w:cs="Sylfaen"/>
                      <w:sz w:val="10"/>
                      <w:szCs w:val="10"/>
                    </w:rPr>
                    <w:t>կողմից։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Օգտագործելով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գործիքները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հարմարանքները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պետք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է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հետազոտի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էլեկտրական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սարքավորումները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դրանց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առանձին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գնահատի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դրանց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վիճակը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բացահայտի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չաշխատող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նշի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պատճառները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գնահատի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նորոգման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հնարավորությունը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աշխատանքների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հնարավոր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ծավալը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: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Ըստ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անսարքության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բնույթի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ապամոնտաժի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կազմատի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սարքավորումը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համապատասխան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հանգույցը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վերացնի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անսարքությունը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`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կատարելով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նաև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միջանկյալ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ստուգումները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հավաքի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տեղադրի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նորոգված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lastRenderedPageBreak/>
                    <w:t>սարքավորումը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հանգույցը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,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կատարի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վերջնական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ստուգմում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ru-RU"/>
                    </w:rPr>
                    <w:t>փորձարկում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>: Սպասարկումը պետք է իրականացվի շուրջօրյա գրաֆիկով:</w:t>
                  </w:r>
                </w:p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    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Տեխնիկական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սպասարկման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ընթացքում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կատարվող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հիմնական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օգտագործվող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պահեստամասերի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անվանումները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կցվում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</w:rPr>
                    <w:t>են</w:t>
                  </w:r>
                  <w:r w:rsidRPr="009C36A7"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  <w:t xml:space="preserve">` </w:t>
                  </w:r>
                </w:p>
                <w:p w:rsidR="00CA2B8E" w:rsidRPr="009C36A7" w:rsidRDefault="00CA2B8E" w:rsidP="00273415">
                  <w:pPr>
                    <w:ind w:left="-40" w:right="49"/>
                    <w:jc w:val="both"/>
                    <w:rPr>
                      <w:rFonts w:ascii="GHEA Grapalat" w:hAnsi="GHEA Grapalat" w:cs="Sylfaen"/>
                      <w:sz w:val="10"/>
                      <w:szCs w:val="10"/>
                      <w:lang w:val="pt-BR"/>
                    </w:rPr>
                  </w:pPr>
                </w:p>
                <w:p w:rsidR="00CA2B8E" w:rsidRPr="009C36A7" w:rsidRDefault="00CA2B8E" w:rsidP="00273415">
                  <w:pPr>
                    <w:jc w:val="center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ՃՈ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ավտոմոբիլների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վրա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տեղադրված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էլեկտրասարքավորումների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վերանորոգման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  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ծառայությունների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և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օ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գտագործվող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պահեստամասերի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</w:t>
                  </w: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</w:rPr>
                    <w:t>անվանումներ</w:t>
                  </w:r>
                </w:p>
                <w:p w:rsidR="00CA2B8E" w:rsidRPr="009C36A7" w:rsidRDefault="00CA2B8E" w:rsidP="00273415">
                  <w:pPr>
                    <w:jc w:val="both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</w:t>
                  </w:r>
                </w:p>
                <w:tbl>
                  <w:tblPr>
                    <w:tblW w:w="137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03"/>
                    <w:gridCol w:w="1072"/>
                  </w:tblGrid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1375" w:type="dxa"/>
                        <w:gridSpan w:val="2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b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b/>
                            <w:sz w:val="10"/>
                            <w:szCs w:val="10"/>
                          </w:rPr>
                          <w:t>Ծառայության անվանումը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դիագնոստիկա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մասնակի մասնատում/հավաքում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ամբողջական մասնատում և հավաքում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Քսենոնային լուսատուի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Հալոգենային լուսատուի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Բարձրախոսի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Քսենոնային լուսատուի ղեկավարման սարքի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Հալոգենային լուսատուի ղեկավարման վահանակի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լարանցումների անսարքության վերականգնում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CJB-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կենտրոնական կանտրոլերի 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11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CJB-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կենտրոնական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կանտրոլերի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ղեկավարման վահանակի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խոսափողի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/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մաքրում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12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Լամպի փոխարինում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13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դիագնոստիկա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14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ալեհավաքի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վերանորոգում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16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eastAsia="Arial Unicode MS" w:hAnsi="GHEA Grapalat" w:cs="Sylfaen"/>
                            <w:sz w:val="10"/>
                            <w:szCs w:val="10"/>
                          </w:rPr>
                          <w:t>Լուսաձայնային սարքավորումների պրոֆիլակտիկա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17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Ռադիոկայանի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պրոֆիլակտիկա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03" w:type="dxa"/>
                      </w:tcPr>
                      <w:p w:rsidR="00CA2B8E" w:rsidRPr="009C36A7" w:rsidRDefault="00CA2B8E" w:rsidP="00273415">
                        <w:pPr>
                          <w:ind w:left="-56"/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18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Լուսաձայնային սարքավորման քսենոնային համակարգը լուսադիոդայինի փոխարինում մեկ տարվա երաշխիքով</w:t>
                        </w:r>
                      </w:p>
                    </w:tc>
                  </w:tr>
                </w:tbl>
                <w:p w:rsidR="00CA2B8E" w:rsidRPr="009C36A7" w:rsidRDefault="00CA2B8E" w:rsidP="00273415">
                  <w:pPr>
                    <w:jc w:val="both"/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i/>
                      <w:sz w:val="10"/>
                      <w:szCs w:val="10"/>
                      <w:lang w:val="pt-BR"/>
                    </w:rPr>
                    <w:t xml:space="preserve">                     </w:t>
                  </w:r>
                </w:p>
                <w:p w:rsidR="00CA2B8E" w:rsidRPr="009C36A7" w:rsidRDefault="00CA2B8E" w:rsidP="00273415">
                  <w:pPr>
                    <w:jc w:val="center"/>
                    <w:rPr>
                      <w:rFonts w:ascii="GHEA Grapalat" w:hAnsi="GHEA Grapalat" w:cs="Sylfaen"/>
                      <w:b/>
                      <w:sz w:val="10"/>
                      <w:szCs w:val="10"/>
                    </w:rPr>
                  </w:pPr>
                  <w:r w:rsidRPr="009C36A7">
                    <w:rPr>
                      <w:rFonts w:ascii="GHEA Grapalat" w:hAnsi="GHEA Grapalat" w:cs="Sylfaen"/>
                      <w:b/>
                      <w:sz w:val="10"/>
                      <w:szCs w:val="10"/>
                    </w:rPr>
                    <w:t>Պահեստամասեր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64"/>
                    <w:gridCol w:w="1199"/>
                  </w:tblGrid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19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Xenon Flash bulbs, քսենոնային լուսատու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20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Hal, Flash bulbs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հալոգեն լուսատու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21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Membrance,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բարձրախոսի մեմբրան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22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P/supply controller, քսենոնային լուսատուների 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lastRenderedPageBreak/>
                          <w:t>ղեկավարման սարք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HA 100,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բարձրախոս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24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  <w:lang w:val="ru-RU"/>
                          </w:rPr>
                          <w:t>Spare parts,</w:t>
                        </w: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 xml:space="preserve"> պահեստամասեր</w:t>
                        </w:r>
                      </w:p>
                    </w:tc>
                  </w:tr>
                  <w:tr w:rsidR="00CA2B8E" w:rsidRPr="009C36A7" w:rsidTr="00273415">
                    <w:trPr>
                      <w:jc w:val="center"/>
                    </w:trPr>
                    <w:tc>
                      <w:tcPr>
                        <w:tcW w:w="364" w:type="dxa"/>
                      </w:tcPr>
                      <w:p w:rsidR="00CA2B8E" w:rsidRPr="009C36A7" w:rsidRDefault="00CA2B8E" w:rsidP="00273415">
                        <w:pPr>
                          <w:jc w:val="center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25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CA2B8E" w:rsidRPr="009C36A7" w:rsidRDefault="00CA2B8E" w:rsidP="00273415">
                        <w:pPr>
                          <w:jc w:val="both"/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</w:pPr>
                        <w:r w:rsidRPr="009C36A7">
                          <w:rPr>
                            <w:rFonts w:ascii="GHEA Grapalat" w:hAnsi="GHEA Grapalat" w:cs="Sylfaen"/>
                            <w:sz w:val="10"/>
                            <w:szCs w:val="10"/>
                          </w:rPr>
                          <w:t>CJB-կենտրոնական կոնտրոլլեր, ղեկավարման սարք</w:t>
                        </w:r>
                      </w:p>
                    </w:tc>
                  </w:tr>
                </w:tbl>
                <w:p w:rsidR="00CA2B8E" w:rsidRPr="00CA2B8E" w:rsidRDefault="00CA2B8E" w:rsidP="00273415">
                  <w:pPr>
                    <w:tabs>
                      <w:tab w:val="num" w:pos="90"/>
                    </w:tabs>
                    <w:spacing w:line="360" w:lineRule="auto"/>
                    <w:ind w:right="360"/>
                    <w:jc w:val="both"/>
                    <w:rPr>
                      <w:rFonts w:ascii="GHEA Grapalat" w:hAnsi="GHEA Grapalat"/>
                      <w:sz w:val="10"/>
                      <w:szCs w:val="10"/>
                    </w:rPr>
                  </w:pPr>
                </w:p>
              </w:tc>
            </w:tr>
          </w:tbl>
          <w:p w:rsidR="00C521EE" w:rsidRPr="00CA2B8E" w:rsidRDefault="00C521EE" w:rsidP="00273415">
            <w:pPr>
              <w:pStyle w:val="Heading1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A01B2B" w:rsidRPr="005B612B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5EE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C75FD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FD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FD4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FD4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C75FD4" w:rsidRPr="00D31737" w:rsidRDefault="00C75FD4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5FD4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75FD4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5FD4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D31737" w:rsidRDefault="00C75F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5FD4" w:rsidRPr="00D31737" w:rsidTr="005F43D4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FD4" w:rsidRPr="00C521EE" w:rsidRDefault="00C75FD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7391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73914" w:rsidRPr="00C521EE" w:rsidRDefault="00673914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73914" w:rsidRPr="00C6313E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&lt;&lt;Ալիկանտե&gt;&gt;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3914" w:rsidRPr="00C521EE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3914" w:rsidRPr="00C521EE" w:rsidRDefault="00673914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45900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673914" w:rsidRPr="00673914" w:rsidRDefault="00673914" w:rsidP="002734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229500</w:t>
            </w:r>
          </w:p>
        </w:tc>
      </w:tr>
      <w:tr w:rsidR="0067391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73914" w:rsidRPr="00C521EE" w:rsidRDefault="00673914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73914" w:rsidRPr="00C6313E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&lt;&lt;Տոպազ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-95&gt;&gt;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3914" w:rsidRPr="00C521EE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3914" w:rsidRPr="00C521EE" w:rsidRDefault="00673914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7000000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673914" w:rsidRPr="00673914" w:rsidRDefault="00673914" w:rsidP="002734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673914" w:rsidRPr="00AA2E9C" w:rsidRDefault="00673914" w:rsidP="00AA2E9C">
            <w:pPr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A2E9C">
              <w:rPr>
                <w:rFonts w:ascii="GHEA Grapalat" w:hAnsi="GHEA Grapalat"/>
                <w:b/>
                <w:sz w:val="14"/>
                <w:szCs w:val="14"/>
                <w:lang w:val="af-ZA"/>
              </w:rPr>
              <w:t>42000000</w:t>
            </w:r>
          </w:p>
        </w:tc>
      </w:tr>
      <w:tr w:rsidR="00673914" w:rsidRPr="00D31737" w:rsidTr="00273415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73914" w:rsidRPr="00C521EE" w:rsidRDefault="00673914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73914" w:rsidRPr="00C6313E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>/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Ձ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Ռուզաննա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Գրիգորյան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180776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3914" w:rsidRPr="00C521EE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3914" w:rsidRPr="00C521EE" w:rsidRDefault="00673914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45194</w:t>
            </w:r>
          </w:p>
        </w:tc>
        <w:tc>
          <w:tcPr>
            <w:tcW w:w="1039" w:type="dxa"/>
            <w:gridSpan w:val="7"/>
            <w:shd w:val="clear" w:color="auto" w:fill="auto"/>
          </w:tcPr>
          <w:p w:rsidR="00673914" w:rsidRPr="00673914" w:rsidRDefault="00673914" w:rsidP="00E65EA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</w:rPr>
              <w:t>225970</w:t>
            </w:r>
          </w:p>
        </w:tc>
      </w:tr>
      <w:tr w:rsidR="0067391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73914" w:rsidRPr="00C521EE" w:rsidRDefault="00673914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73914" w:rsidRPr="00C6313E" w:rsidRDefault="00673914" w:rsidP="00C6313E">
            <w:pPr>
              <w:ind w:right="-5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>/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Ձ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Վարդան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Ասատրյան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113500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3914" w:rsidRPr="00C521EE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3914" w:rsidRPr="00C521EE" w:rsidRDefault="0067391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673914" w:rsidRPr="00673914" w:rsidRDefault="00673914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7391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113500</w:t>
            </w:r>
          </w:p>
        </w:tc>
      </w:tr>
      <w:tr w:rsidR="00673914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AA2E9C" w:rsidRDefault="00AA2E9C" w:rsidP="00AA2E9C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AA2E9C"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="00673914" w:rsidRPr="00AA2E9C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="00673914" w:rsidRPr="00AA2E9C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գ</w:t>
            </w:r>
            <w:r w:rsidR="00673914" w:rsidRPr="00AA2E9C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673914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3914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73914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73914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73914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73914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BB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B023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023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73914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73914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14" w:rsidRPr="00D31737" w:rsidRDefault="00BB023B" w:rsidP="00BB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BB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B023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023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7391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914" w:rsidRDefault="00BB023B" w:rsidP="00BB023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7391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914" w:rsidRDefault="00C6313E" w:rsidP="00BB023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023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7391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914" w:rsidRPr="00ED6F12" w:rsidRDefault="00673914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914" w:rsidRDefault="00BB023B" w:rsidP="00BB023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7391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73914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73914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73914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73914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73914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6739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73914" w:rsidRPr="00C6313E" w:rsidRDefault="00C6313E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>/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Ձ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Վարդան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Ասատրյան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673914" w:rsidRPr="000F49C2" w:rsidRDefault="00673914" w:rsidP="00C631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0F49C2">
              <w:rPr>
                <w:rFonts w:ascii="GHEA Grapalat" w:hAnsi="GHEA Grapalat"/>
                <w:b/>
                <w:sz w:val="14"/>
                <w:szCs w:val="14"/>
                <w:lang w:val="pt-BR" w:eastAsia="zh-CN"/>
              </w:rPr>
              <w:t>ՀՀ ԿԱ Ո-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-11/9-</w:t>
            </w:r>
            <w:r w:rsid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403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-2015/</w:t>
            </w:r>
            <w:r w:rsid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ՃՈ/Մ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73914" w:rsidRPr="00446EA2" w:rsidRDefault="00C6313E" w:rsidP="00C631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73914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673914"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73914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 w:rsidR="0067391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673914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673914" w:rsidRPr="004A42C8" w:rsidRDefault="00673914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73914" w:rsidRPr="004A42C8" w:rsidRDefault="0067391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673914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C6313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73914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774554" w:rsidRDefault="00673914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73914" w:rsidRPr="004A42C8" w:rsidRDefault="0067391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73914" w:rsidRPr="004A42C8" w:rsidRDefault="0067391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73914" w:rsidRPr="00446EA2" w:rsidRDefault="0067391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73914" w:rsidRPr="004A42C8" w:rsidRDefault="0067391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73914" w:rsidRPr="004A42C8" w:rsidRDefault="0067391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673914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C6313E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673914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673914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774554" w:rsidRDefault="006739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73914" w:rsidRPr="004A42C8" w:rsidRDefault="0067391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73914" w:rsidRPr="004A42C8" w:rsidRDefault="0067391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73914" w:rsidRPr="00446EA2" w:rsidRDefault="0067391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73914" w:rsidRPr="004A42C8" w:rsidRDefault="0067391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73914" w:rsidRPr="004A42C8" w:rsidRDefault="0067391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673914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14" w:rsidRPr="004A42C8" w:rsidRDefault="00C6313E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673914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673914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3914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3914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774554" w:rsidRDefault="00673914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C6313E" w:rsidRDefault="00C6313E" w:rsidP="00C631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Ա/Ձ Վարդան Ասատրյան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13E" w:rsidRPr="00C6313E" w:rsidRDefault="00C6313E" w:rsidP="00C63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red"/>
                <w:lang w:val="pt-BR"/>
              </w:rPr>
            </w:pPr>
            <w:r w:rsidRPr="00C6313E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6313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C6313E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C6313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C6313E">
              <w:rPr>
                <w:rFonts w:ascii="GHEA Grapalat" w:hAnsi="GHEA Grapalat"/>
                <w:b/>
                <w:sz w:val="14"/>
                <w:szCs w:val="14"/>
              </w:rPr>
              <w:t>Հալաբյան</w:t>
            </w:r>
            <w:r w:rsidRPr="00C6313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31 </w:t>
            </w:r>
            <w:r w:rsidRPr="00C6313E"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r w:rsidRPr="00C6313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C6313E"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r w:rsidRPr="00C6313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.10</w:t>
            </w:r>
          </w:p>
          <w:p w:rsidR="00673914" w:rsidRPr="00774554" w:rsidRDefault="00C6313E" w:rsidP="00C631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Հեռ. (091) 24 34 90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774554" w:rsidRDefault="00C6313E" w:rsidP="00C6313E">
            <w:pPr>
              <w:ind w:left="-66" w:right="-121"/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C6313E">
              <w:rPr>
                <w:rStyle w:val="Hyperlink"/>
                <w:rFonts w:ascii="GHEA Grapalat" w:hAnsi="GHEA Grapalat"/>
                <w:b/>
                <w:sz w:val="14"/>
                <w:szCs w:val="14"/>
                <w:lang w:val="pt-BR"/>
              </w:rPr>
              <w:t>vardan.asatryan.80@mail.ru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774554" w:rsidRDefault="00C6313E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1570021450410100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774554" w:rsidRDefault="00C6313E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89523544</w:t>
            </w:r>
          </w:p>
        </w:tc>
      </w:tr>
      <w:tr w:rsidR="00673914" w:rsidRPr="00774554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7C65E9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7391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73914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73914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E40046" w:rsidRDefault="00C6313E" w:rsidP="00600B3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10.03.2015թ. ժամը 16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u w:val="single"/>
                <w:vertAlign w:val="superscript"/>
                <w:lang w:val="af-ZA"/>
              </w:rPr>
              <w:t>35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-ին թեժ գծին ստացված ահազանգից հետո ս/թ մարտի 16-ին ժամը 16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u w:val="single"/>
                <w:vertAlign w:val="superscript"/>
                <w:lang w:val="af-ZA"/>
              </w:rPr>
              <w:t>00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-ին 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«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Գնումների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աջակցման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կենտրոն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»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ՊՈԱԿ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-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ում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կազմակերպվել է</w:t>
            </w:r>
            <w:r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քննարկում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: Քննարկման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արդյունքների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ամփոփման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մասին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</w:t>
            </w:r>
            <w:r w:rsidR="00600B34">
              <w:rPr>
                <w:rFonts w:ascii="GHEA Grapalat" w:hAnsi="GHEA Grapalat" w:cs="Sylfaen"/>
                <w:b/>
                <w:i/>
                <w:sz w:val="14"/>
                <w:szCs w:val="14"/>
              </w:rPr>
              <w:t>02.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04.2015թ. թիվ 09/032-592 գրությամբ </w:t>
            </w:r>
            <w:r w:rsidR="00171151"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«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Գնումների</w:t>
            </w:r>
            <w:r w:rsidR="00171151"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աջակցման</w:t>
            </w:r>
            <w:r w:rsidR="00171151"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կենտրոն</w:t>
            </w:r>
            <w:r w:rsidR="00171151"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» 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ՊՈԱԿ</w:t>
            </w:r>
            <w:r w:rsidR="00171151" w:rsidRPr="00E40046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-</w:t>
            </w:r>
            <w:r w:rsidR="00171151" w:rsidRPr="00E40046">
              <w:rPr>
                <w:rFonts w:ascii="GHEA Grapalat" w:hAnsi="GHEA Grapalat" w:cs="Sylfaen"/>
                <w:b/>
                <w:i/>
                <w:sz w:val="14"/>
                <w:szCs w:val="14"/>
              </w:rPr>
              <w:t>ը տվել է եզրակացություն գնումների բողոքարկման խորհրդում բողոքարկման գործընթաց նախաձեռնելու հիմքերի բացակայության վերաբերյալ:</w:t>
            </w:r>
          </w:p>
        </w:tc>
      </w:tr>
      <w:tr w:rsidR="00673914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73914" w:rsidRPr="00D31737" w:rsidRDefault="0067391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914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3914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914" w:rsidRPr="00D31737" w:rsidRDefault="0067391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73914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673914" w:rsidRPr="00D31737" w:rsidRDefault="0067391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673914" w:rsidRPr="00D31737" w:rsidRDefault="0067391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7A" w:rsidRDefault="00EB777A">
      <w:r>
        <w:separator/>
      </w:r>
    </w:p>
  </w:endnote>
  <w:endnote w:type="continuationSeparator" w:id="1">
    <w:p w:rsidR="00EB777A" w:rsidRDefault="00EB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3879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3879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01D">
      <w:rPr>
        <w:rStyle w:val="PageNumber"/>
        <w:noProof/>
      </w:rPr>
      <w:t>4</w: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7A" w:rsidRDefault="00EB777A">
      <w:r>
        <w:separator/>
      </w:r>
    </w:p>
  </w:footnote>
  <w:footnote w:type="continuationSeparator" w:id="1">
    <w:p w:rsidR="00EB777A" w:rsidRDefault="00EB7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105A7"/>
    <w:rsid w:val="00120E57"/>
    <w:rsid w:val="0012168F"/>
    <w:rsid w:val="00121AEC"/>
    <w:rsid w:val="00124077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71151"/>
    <w:rsid w:val="00180617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73415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879F7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4FF7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201D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0B34"/>
    <w:rsid w:val="006041E4"/>
    <w:rsid w:val="00607DF8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73914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2E9C"/>
    <w:rsid w:val="00AA47B1"/>
    <w:rsid w:val="00AA698E"/>
    <w:rsid w:val="00AB1F7F"/>
    <w:rsid w:val="00AB253E"/>
    <w:rsid w:val="00AB2D08"/>
    <w:rsid w:val="00AC2F3E"/>
    <w:rsid w:val="00AC77C2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872FC"/>
    <w:rsid w:val="00BB023B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13E"/>
    <w:rsid w:val="00C63DF5"/>
    <w:rsid w:val="00C663D1"/>
    <w:rsid w:val="00C72941"/>
    <w:rsid w:val="00C72D90"/>
    <w:rsid w:val="00C7583E"/>
    <w:rsid w:val="00C75FD4"/>
    <w:rsid w:val="00C90538"/>
    <w:rsid w:val="00C90BC4"/>
    <w:rsid w:val="00C926B7"/>
    <w:rsid w:val="00C93C9B"/>
    <w:rsid w:val="00C9711B"/>
    <w:rsid w:val="00CA19F4"/>
    <w:rsid w:val="00CA2B8E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0046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B777A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3583B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41</cp:revision>
  <cp:lastPrinted>2015-04-15T08:14:00Z</cp:lastPrinted>
  <dcterms:created xsi:type="dcterms:W3CDTF">2012-10-09T06:25:00Z</dcterms:created>
  <dcterms:modified xsi:type="dcterms:W3CDTF">2015-04-15T08:15:00Z</dcterms:modified>
</cp:coreProperties>
</file>