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331023">
        <w:rPr>
          <w:rFonts w:ascii="GHEA Grapalat" w:hAnsi="GHEA Grapalat" w:cs="Sylfaen"/>
          <w:b/>
          <w:i/>
          <w:lang w:val="ru-RU"/>
        </w:rPr>
        <w:t>ՀՀ ԿԱ Ո ՇՀԾՁԲ-15/9-ՎՎևՊԾ</w:t>
      </w:r>
      <w:r w:rsidR="00331023">
        <w:rPr>
          <w:rFonts w:ascii="GHEA Grapalat" w:hAnsi="GHEA Grapalat" w:cs="Sylfaen"/>
          <w:i/>
          <w:lang w:val="ru-RU"/>
        </w:rPr>
        <w:t xml:space="preserve"> 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hy-AM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31023">
        <w:rPr>
          <w:rFonts w:ascii="GHEA Grapalat" w:hAnsi="GHEA Grapalat" w:cs="Sylfaen"/>
          <w:b/>
          <w:i/>
          <w:lang w:val="ru-RU"/>
        </w:rPr>
        <w:t>ՀՀ ԿԱ Ո ՇՀԾՁԲ-15/9-ՎՎևՊԾ</w:t>
      </w:r>
      <w:r w:rsidR="00331023">
        <w:rPr>
          <w:rFonts w:ascii="GHEA Grapalat" w:hAnsi="GHEA Grapalat" w:cs="Sylfaen"/>
          <w:i/>
          <w:lang w:val="ru-RU"/>
        </w:rPr>
        <w:t xml:space="preserve"> 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3"/>
        <w:gridCol w:w="2637"/>
        <w:gridCol w:w="2893"/>
        <w:gridCol w:w="2434"/>
        <w:gridCol w:w="2361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331023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Times Armenian"/>
                <w:b/>
                <w:lang w:val="af-ZA"/>
              </w:rPr>
              <w:t>ՎԵՐԵԼԱԿՆԵՐԻ ՎԵՐԱՆՈՐՈԳՄԱՆ և ՊԱՀՊԱՆՄԱՆ ԾԱՌԱՅՈՒԹՅՈՒՆՆԵՐ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57-58-44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BB5D2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              </w:t>
      </w:r>
      <w:bookmarkStart w:id="0" w:name="_GoBack"/>
      <w:bookmarkEnd w:id="0"/>
      <w:r w:rsidR="00BB5D2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01.07.2015 թ.</w:t>
      </w:r>
    </w:p>
    <w:p w:rsidR="008723B1" w:rsidRDefault="008723B1"/>
    <w:sectPr w:rsidR="008723B1" w:rsidSect="00B917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B258F"/>
    <w:rsid w:val="00331023"/>
    <w:rsid w:val="008723B1"/>
    <w:rsid w:val="00A9731D"/>
    <w:rsid w:val="00B91757"/>
    <w:rsid w:val="00BB5D28"/>
    <w:rsid w:val="00E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Company>Hewlett-Packard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2015-05-14T13:43:00Z</dcterms:created>
  <dcterms:modified xsi:type="dcterms:W3CDTF">2015-07-01T07:30:00Z</dcterms:modified>
</cp:coreProperties>
</file>