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280" w:rsidRDefault="00FA466E">
      <w:pPr>
        <w:pStyle w:val="Heading5"/>
        <w:tabs>
          <w:tab w:val="num" w:pos="1440"/>
        </w:tabs>
        <w:spacing w:before="0" w:beforeAutospacing="0" w:after="0" w:afterAutospacing="0"/>
        <w:ind w:left="1440" w:right="288" w:hanging="720"/>
        <w:jc w:val="center"/>
        <w:rPr>
          <w:rFonts w:eastAsia="Times New Roman"/>
        </w:rPr>
      </w:pPr>
      <w:r>
        <w:rPr>
          <w:rFonts w:ascii="Verdana" w:eastAsia="Times New Roman" w:hAnsi="Verdana"/>
        </w:rPr>
        <w:t>QCBS, QBS, FBS, and LCS Contract Award Notice</w:t>
      </w:r>
    </w:p>
    <w:p w:rsidR="00944280" w:rsidRDefault="00FA466E">
      <w:pPr>
        <w:pStyle w:val="NormalWeb"/>
        <w:tabs>
          <w:tab w:val="num" w:pos="1440"/>
        </w:tabs>
        <w:spacing w:before="0" w:beforeAutospacing="0" w:after="0" w:afterAutospacing="0"/>
        <w:ind w:left="1440" w:right="288" w:hanging="720"/>
        <w:jc w:val="center"/>
      </w:pPr>
      <w:r>
        <w:rPr>
          <w:rFonts w:ascii="Verdana" w:hAnsi="Verdana"/>
          <w:sz w:val="20"/>
          <w:szCs w:val="20"/>
        </w:rPr>
        <w:t>Armenia</w:t>
      </w:r>
    </w:p>
    <w:p w:rsidR="00944280" w:rsidRDefault="00FA466E">
      <w:pPr>
        <w:pStyle w:val="NormalWeb"/>
        <w:tabs>
          <w:tab w:val="num" w:pos="1440"/>
        </w:tabs>
        <w:spacing w:before="0" w:beforeAutospacing="0" w:after="0" w:afterAutospacing="0"/>
        <w:ind w:left="1440" w:right="288" w:hanging="720"/>
        <w:jc w:val="center"/>
      </w:pPr>
      <w:r>
        <w:rPr>
          <w:rFonts w:ascii="Verdana" w:hAnsi="Verdana"/>
          <w:sz w:val="20"/>
          <w:szCs w:val="20"/>
        </w:rPr>
        <w:t>Project: P131036 - Electronic Processing and One-Stop Shop for Construction Permits</w:t>
      </w:r>
    </w:p>
    <w:p w:rsidR="00944280" w:rsidRDefault="00FA466E">
      <w:pPr>
        <w:pStyle w:val="NormalWeb"/>
      </w:pPr>
      <w:r>
        <w:rPr>
          <w:rFonts w:ascii="Verdana" w:hAnsi="Verdana"/>
          <w:sz w:val="20"/>
          <w:szCs w:val="20"/>
        </w:rPr>
        <w:t>Contract Reference No: EPCP- C-1.2</w:t>
      </w:r>
      <w:r>
        <w:rPr>
          <w:rFonts w:ascii="Verdana" w:hAnsi="Verdana"/>
          <w:sz w:val="20"/>
          <w:szCs w:val="20"/>
        </w:rPr>
        <w:br/>
        <w:t>Scope of Contract: Development of a unified electronic address registry</w:t>
      </w:r>
      <w:r>
        <w:rPr>
          <w:rFonts w:ascii="Verdana" w:hAnsi="Verdana"/>
          <w:sz w:val="20"/>
          <w:szCs w:val="20"/>
        </w:rPr>
        <w:br/>
        <w:t>Method of Selection: QCBS - Quality And Cost-Based Selection</w:t>
      </w:r>
      <w:r>
        <w:rPr>
          <w:rFonts w:ascii="Verdana" w:hAnsi="Verdana"/>
          <w:sz w:val="20"/>
          <w:szCs w:val="20"/>
        </w:rPr>
        <w:br/>
        <w:t>Duration of Contract: 4 Month(s)</w:t>
      </w:r>
      <w:r>
        <w:rPr>
          <w:rFonts w:ascii="Verdana" w:hAnsi="Verdana"/>
          <w:sz w:val="20"/>
          <w:szCs w:val="20"/>
        </w:rPr>
        <w:br/>
        <w:t>Contract Signature Date: 05-Oct-2015</w:t>
      </w:r>
      <w:r>
        <w:rPr>
          <w:rFonts w:ascii="Verdana" w:hAnsi="Verdana"/>
          <w:sz w:val="20"/>
          <w:szCs w:val="20"/>
        </w:rPr>
        <w:br/>
        <w:t>Evaluation Currency: AMD - Armenian Dram</w:t>
      </w:r>
    </w:p>
    <w:p w:rsidR="00944280" w:rsidRDefault="00FA466E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Full Official Text of the Notice</w:t>
      </w:r>
    </w:p>
    <w:p w:rsidR="00944280" w:rsidRDefault="00FA466E">
      <w:pPr>
        <w:pStyle w:val="Heading5"/>
        <w:tabs>
          <w:tab w:val="num" w:pos="1440"/>
        </w:tabs>
        <w:spacing w:before="0" w:beforeAutospacing="0" w:after="0" w:afterAutospacing="0"/>
        <w:ind w:left="1440" w:right="288" w:hanging="720"/>
        <w:jc w:val="center"/>
        <w:rPr>
          <w:rFonts w:ascii="Verdana" w:eastAsia="Times New Roman" w:hAnsi="Verdana"/>
        </w:rPr>
      </w:pPr>
      <w:r>
        <w:rPr>
          <w:rFonts w:ascii="Verdana" w:eastAsia="Times New Roman" w:hAnsi="Verdana"/>
          <w:sz w:val="24"/>
          <w:szCs w:val="24"/>
        </w:rPr>
        <w:t>QCBS, QBS, FBS, and LCS Contract Award Notice</w:t>
      </w:r>
    </w:p>
    <w:p w:rsidR="00944280" w:rsidRDefault="00FA466E">
      <w:pPr>
        <w:jc w:val="center"/>
      </w:pPr>
      <w:r>
        <w:rPr>
          <w:rStyle w:val="Emphasis"/>
          <w:b/>
          <w:iCs w:val="0"/>
          <w:sz w:val="28"/>
        </w:rPr>
        <w:t> </w:t>
      </w:r>
    </w:p>
    <w:p w:rsidR="00944280" w:rsidRDefault="00FA466E">
      <w:pPr>
        <w:jc w:val="center"/>
      </w:pPr>
      <w:r>
        <w:rPr>
          <w:rStyle w:val="Emphasis"/>
          <w:b/>
          <w:iCs w:val="0"/>
          <w:sz w:val="28"/>
        </w:rPr>
        <w:t>Country</w:t>
      </w:r>
      <w:r>
        <w:rPr>
          <w:rStyle w:val="Strong"/>
          <w:bCs w:val="0"/>
          <w:sz w:val="28"/>
        </w:rPr>
        <w:t xml:space="preserve">: </w:t>
      </w:r>
      <w:r>
        <w:rPr>
          <w:sz w:val="28"/>
          <w:szCs w:val="28"/>
        </w:rPr>
        <w:t>Republic</w:t>
      </w:r>
      <w:r>
        <w:rPr>
          <w:sz w:val="28"/>
        </w:rPr>
        <w:t xml:space="preserve"> of </w:t>
      </w:r>
      <w:r>
        <w:rPr>
          <w:sz w:val="28"/>
          <w:szCs w:val="28"/>
        </w:rPr>
        <w:t>Armenia</w:t>
      </w:r>
    </w:p>
    <w:p w:rsidR="00944280" w:rsidRDefault="00FA466E">
      <w:pPr>
        <w:tabs>
          <w:tab w:val="left" w:pos="720"/>
          <w:tab w:val="right" w:leader="dot" w:pos="8640"/>
        </w:tabs>
        <w:jc w:val="center"/>
      </w:pPr>
      <w:r>
        <w:rPr>
          <w:rStyle w:val="Emphasis"/>
          <w:b/>
          <w:iCs w:val="0"/>
          <w:sz w:val="28"/>
        </w:rPr>
        <w:t xml:space="preserve">Project Name: </w:t>
      </w:r>
      <w:r>
        <w:rPr>
          <w:rStyle w:val="Strong"/>
          <w:bCs w:val="0"/>
          <w:sz w:val="28"/>
        </w:rPr>
        <w:t xml:space="preserve"> </w:t>
      </w:r>
      <w:r>
        <w:rPr>
          <w:spacing w:val="-2"/>
          <w:sz w:val="28"/>
          <w:szCs w:val="28"/>
        </w:rPr>
        <w:t>Electronic Processing and One-Stop Shop for Construction Permits Project</w:t>
      </w:r>
    </w:p>
    <w:p w:rsidR="00944280" w:rsidRDefault="00FA466E">
      <w:pPr>
        <w:tabs>
          <w:tab w:val="left" w:pos="720"/>
          <w:tab w:val="right" w:leader="dot" w:pos="8640"/>
        </w:tabs>
        <w:jc w:val="center"/>
      </w:pPr>
      <w:r>
        <w:rPr>
          <w:rStyle w:val="Strong"/>
          <w:bCs w:val="0"/>
          <w:sz w:val="28"/>
          <w:szCs w:val="28"/>
        </w:rPr>
        <w:t xml:space="preserve">Grant </w:t>
      </w:r>
      <w:r>
        <w:rPr>
          <w:rStyle w:val="Emphasis"/>
          <w:b/>
          <w:iCs w:val="0"/>
          <w:sz w:val="28"/>
        </w:rPr>
        <w:t>No</w:t>
      </w:r>
      <w:r>
        <w:rPr>
          <w:rStyle w:val="Strong"/>
          <w:bCs w:val="0"/>
          <w:sz w:val="28"/>
          <w:szCs w:val="28"/>
        </w:rPr>
        <w:t xml:space="preserve">. </w:t>
      </w:r>
      <w:r>
        <w:rPr>
          <w:sz w:val="28"/>
          <w:szCs w:val="28"/>
        </w:rPr>
        <w:t>TF 012782</w:t>
      </w:r>
    </w:p>
    <w:p w:rsidR="00944280" w:rsidRDefault="00FA466E">
      <w:pPr>
        <w:tabs>
          <w:tab w:val="left" w:pos="720"/>
          <w:tab w:val="right" w:leader="dot" w:pos="8640"/>
        </w:tabs>
        <w:jc w:val="center"/>
      </w:pPr>
      <w:r>
        <w:rPr>
          <w:rStyle w:val="Strong"/>
          <w:bCs w:val="0"/>
          <w:sz w:val="28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198"/>
        <w:gridCol w:w="3928"/>
        <w:gridCol w:w="2190"/>
        <w:gridCol w:w="1260"/>
      </w:tblGrid>
      <w:tr w:rsidR="00944280"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pStyle w:val="NormalWeb"/>
            </w:pPr>
            <w:r>
              <w:rPr>
                <w:rFonts w:ascii="Verdana" w:hAnsi="Verdana"/>
                <w:sz w:val="18"/>
                <w:szCs w:val="18"/>
              </w:rPr>
              <w:t>Scope of Contract: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280" w:rsidRDefault="00FA466E">
            <w:pPr>
              <w:pStyle w:val="NormalWeb"/>
            </w:pPr>
            <w:r>
              <w:rPr>
                <w:rStyle w:val="Strong"/>
                <w:sz w:val="28"/>
                <w:szCs w:val="28"/>
              </w:rPr>
              <w:t>Development of a unified electronic address registry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pStyle w:val="NormalWeb"/>
            </w:pPr>
            <w:r>
              <w:rPr>
                <w:rFonts w:ascii="Verdana" w:hAnsi="Verdana"/>
                <w:sz w:val="18"/>
                <w:szCs w:val="18"/>
              </w:rPr>
              <w:t>Minimum Qualifying Technical Score: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280" w:rsidRDefault="00FA466E">
            <w:pPr>
              <w:pStyle w:val="NormalWeb"/>
            </w:pPr>
            <w:r>
              <w:rPr>
                <w:rStyle w:val="Strong"/>
                <w:sz w:val="28"/>
                <w:szCs w:val="28"/>
              </w:rPr>
              <w:t>80</w:t>
            </w:r>
          </w:p>
        </w:tc>
      </w:tr>
    </w:tbl>
    <w:p w:rsidR="00944280" w:rsidRDefault="00FA466E">
      <w:pPr>
        <w:pStyle w:val="NormalWeb"/>
        <w:spacing w:before="120" w:beforeAutospacing="0" w:after="12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</w:t>
      </w:r>
    </w:p>
    <w:tbl>
      <w:tblPr>
        <w:tblW w:w="10875" w:type="dxa"/>
        <w:tblLayout w:type="fixed"/>
        <w:tblLook w:val="04A0"/>
      </w:tblPr>
      <w:tblGrid>
        <w:gridCol w:w="1907"/>
        <w:gridCol w:w="2310"/>
        <w:gridCol w:w="2267"/>
        <w:gridCol w:w="1842"/>
        <w:gridCol w:w="1163"/>
        <w:gridCol w:w="1386"/>
      </w:tblGrid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Consultants’ names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adjustRightInd w:val="0"/>
              <w:jc w:val="center"/>
            </w:pPr>
            <w:r>
              <w:rPr>
                <w:rFonts w:eastAsiaTheme="minorHAnsi"/>
                <w:sz w:val="20"/>
                <w:szCs w:val="20"/>
              </w:rPr>
              <w:t>VXSoft Ltd (Ireland) and sub-consultant VXSoft LLC</w:t>
            </w:r>
          </w:p>
          <w:p w:rsidR="00944280" w:rsidRDefault="00FA466E">
            <w:pPr>
              <w:jc w:val="center"/>
            </w:pPr>
            <w:r>
              <w:rPr>
                <w:rFonts w:ascii="Times-Roman" w:eastAsiaTheme="minorHAnsi" w:hAnsi="Times-Roman" w:cs="Times-Roman"/>
                <w:sz w:val="20"/>
                <w:szCs w:val="20"/>
              </w:rPr>
              <w:t>(Armenia)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adjustRightInd w:val="0"/>
              <w:jc w:val="center"/>
            </w:pPr>
            <w:r>
              <w:rPr>
                <w:rFonts w:eastAsiaTheme="minorHAnsi"/>
                <w:sz w:val="20"/>
                <w:szCs w:val="20"/>
              </w:rPr>
              <w:t>JV UniSystems Information Technology Systems Commercial</w:t>
            </w:r>
          </w:p>
          <w:p w:rsidR="00944280" w:rsidRDefault="00FA466E">
            <w:pPr>
              <w:jc w:val="center"/>
            </w:pPr>
            <w:r>
              <w:rPr>
                <w:rFonts w:ascii="Times-Roman" w:eastAsiaTheme="minorHAnsi" w:hAnsi="Times-Roman" w:cs="Times-Roman"/>
                <w:sz w:val="20"/>
                <w:szCs w:val="20"/>
              </w:rPr>
              <w:t>SA (Greece) and VGM Partners Ltd (UK)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adjustRightInd w:val="0"/>
              <w:jc w:val="center"/>
            </w:pPr>
            <w:r>
              <w:rPr>
                <w:rFonts w:eastAsiaTheme="minorHAnsi"/>
                <w:sz w:val="20"/>
                <w:szCs w:val="20"/>
              </w:rPr>
              <w:t>IOS Partners, Inc (USA) with its wholly-owned affiliate</w:t>
            </w:r>
          </w:p>
          <w:p w:rsidR="00944280" w:rsidRDefault="00FA466E">
            <w:pPr>
              <w:adjustRightInd w:val="0"/>
              <w:jc w:val="center"/>
            </w:pPr>
            <w:r>
              <w:rPr>
                <w:rFonts w:eastAsiaTheme="minorHAnsi"/>
                <w:sz w:val="20"/>
                <w:szCs w:val="20"/>
              </w:rPr>
              <w:t>IOSsoft, Inc (USA) and sub-consultant Best Soft CJSC</w:t>
            </w:r>
          </w:p>
          <w:p w:rsidR="00944280" w:rsidRDefault="00FA466E">
            <w:pPr>
              <w:jc w:val="center"/>
            </w:pPr>
            <w:r>
              <w:rPr>
                <w:rFonts w:ascii="Times-Roman" w:eastAsiaTheme="minorHAnsi" w:hAnsi="Times-Roman" w:cs="Times-Roman"/>
                <w:sz w:val="20"/>
                <w:szCs w:val="20"/>
              </w:rPr>
              <w:t>(Armenia)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adjustRightInd w:val="0"/>
              <w:jc w:val="center"/>
            </w:pPr>
            <w:r>
              <w:rPr>
                <w:rFonts w:eastAsiaTheme="minorHAnsi"/>
                <w:sz w:val="20"/>
                <w:szCs w:val="20"/>
              </w:rPr>
              <w:t>JV consisting of Astec Global Consultancy Ltd (Ireland) and</w:t>
            </w:r>
          </w:p>
          <w:p w:rsidR="00944280" w:rsidRDefault="00FA466E">
            <w:pPr>
              <w:adjustRightInd w:val="0"/>
              <w:jc w:val="center"/>
            </w:pPr>
            <w:r>
              <w:rPr>
                <w:rFonts w:eastAsiaTheme="minorHAnsi"/>
                <w:sz w:val="20"/>
                <w:szCs w:val="20"/>
              </w:rPr>
              <w:t>Activis (Ireland) and sub-consultant Altacode LLC</w:t>
            </w:r>
          </w:p>
          <w:p w:rsidR="00944280" w:rsidRDefault="00FA466E">
            <w:pPr>
              <w:jc w:val="center"/>
            </w:pPr>
            <w:r>
              <w:rPr>
                <w:rFonts w:ascii="Times-Roman" w:eastAsiaTheme="minorHAnsi" w:hAnsi="Times-Roman" w:cs="Times-Roman"/>
                <w:sz w:val="20"/>
                <w:szCs w:val="20"/>
              </w:rPr>
              <w:t>(Armenia)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jc w:val="center"/>
            </w:pPr>
            <w:r>
              <w:rPr>
                <w:rFonts w:ascii="Times-Roman" w:eastAsiaTheme="minorHAnsi" w:hAnsi="Times-Roman" w:cs="Times-Roman"/>
                <w:sz w:val="20"/>
                <w:szCs w:val="20"/>
              </w:rPr>
              <w:t>Synergy International Systems, Inc (USA)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City/Country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Times-Roman" w:eastAsiaTheme="minorHAnsi" w:hAnsi="Times-Roman" w:cs="Times-Roman"/>
                <w:sz w:val="20"/>
                <w:szCs w:val="20"/>
              </w:rPr>
              <w:t>Ireland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Times-Roman" w:eastAsiaTheme="minorHAnsi" w:hAnsi="Times-Roman" w:cs="Times-Roman"/>
                <w:sz w:val="20"/>
                <w:szCs w:val="20"/>
              </w:rPr>
              <w:t>Greece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Times-Roman" w:eastAsiaTheme="minorHAnsi" w:hAnsi="Times-Roman" w:cs="Times-Roman"/>
                <w:sz w:val="20"/>
                <w:szCs w:val="20"/>
              </w:rPr>
              <w:t>USA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Times-Roman" w:eastAsiaTheme="minorHAnsi" w:hAnsi="Times-Roman" w:cs="Times-Roman"/>
                <w:sz w:val="20"/>
                <w:szCs w:val="20"/>
              </w:rPr>
              <w:t>Ireland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Times-Roman" w:eastAsiaTheme="minorHAnsi" w:hAnsi="Times-Roman" w:cs="Times-Roman"/>
                <w:sz w:val="20"/>
                <w:szCs w:val="20"/>
              </w:rPr>
              <w:t>USA</w:t>
            </w:r>
          </w:p>
        </w:tc>
      </w:tr>
      <w:tr w:rsidR="00944280">
        <w:trPr>
          <w:trHeight w:val="905"/>
        </w:trPr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Status: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</w:rPr>
              <w:t>Awarded Consultant/Firm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Evaluated Consultant/Firm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Evaluated Consultant/Firm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Evaluated Consultant/Firm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Evaluated Consultant/Firm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ind w:left="270"/>
            </w:pPr>
            <w:r>
              <w:rPr>
                <w:rFonts w:ascii="Verdana" w:hAnsi="Verdana"/>
                <w:sz w:val="18"/>
                <w:szCs w:val="18"/>
              </w:rPr>
              <w:t>Technical Score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92.36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80.05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88.32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77.10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76.68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ind w:left="270"/>
            </w:pPr>
            <w:r>
              <w:rPr>
                <w:rFonts w:ascii="Verdana" w:hAnsi="Verdana"/>
                <w:sz w:val="18"/>
                <w:szCs w:val="18"/>
              </w:rPr>
              <w:t>Financial Score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100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69.02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23.05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sz w:val="27"/>
                <w:szCs w:val="27"/>
              </w:rPr>
              <w:t>-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sz w:val="27"/>
                <w:szCs w:val="27"/>
              </w:rPr>
              <w:t>-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ind w:left="270"/>
            </w:pPr>
            <w:r>
              <w:rPr>
                <w:rFonts w:ascii="Verdana" w:hAnsi="Verdana"/>
                <w:sz w:val="18"/>
                <w:szCs w:val="18"/>
              </w:rPr>
              <w:t>Combined Score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93.89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77.84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75.27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sz w:val="27"/>
                <w:szCs w:val="27"/>
              </w:rPr>
              <w:t>-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sz w:val="27"/>
                <w:szCs w:val="27"/>
              </w:rPr>
              <w:t>-</w:t>
            </w:r>
          </w:p>
        </w:tc>
      </w:tr>
      <w:tr w:rsidR="00944280">
        <w:tc>
          <w:tcPr>
            <w:tcW w:w="190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Criteria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ind w:left="270"/>
            </w:pPr>
            <w:r>
              <w:rPr>
                <w:rFonts w:ascii="Verdana" w:hAnsi="Verdana"/>
                <w:sz w:val="18"/>
                <w:szCs w:val="18"/>
              </w:rPr>
              <w:t>Specific Experience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3.83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4.33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4.00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3.83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4.17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ind w:left="270"/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Work Plan &amp; Methodology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42.67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42.17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40.33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32.67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34.33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ind w:left="270"/>
            </w:pPr>
            <w:r>
              <w:rPr>
                <w:rFonts w:ascii="Verdana" w:hAnsi="Verdana"/>
                <w:sz w:val="18"/>
                <w:szCs w:val="18"/>
              </w:rPr>
              <w:t>Key Experts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45.86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33.55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43.99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40.60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38.18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Price as read out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USD 225,700.00 excluding of all indirect local taxes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EURO 298,020.00 excluding of all indirect local taxes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USD 979,154.29 excluding of all indirect local taxes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Final Evaluation Price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108,031,305.00 AMD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156,511,163.40 AMD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468,672,200.91 AMD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Final Negotiated Price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pStyle w:val="default"/>
              <w:spacing w:before="0" w:beforeAutospacing="0" w:after="0" w:afterAutospacing="0"/>
            </w:pPr>
            <w:r>
              <w:rPr>
                <w:sz w:val="22"/>
                <w:szCs w:val="22"/>
              </w:rPr>
              <w:t>USD 270,840.00</w:t>
            </w:r>
            <w:r>
              <w:rPr>
                <w:rStyle w:val="Strong"/>
                <w:sz w:val="23"/>
                <w:szCs w:val="23"/>
              </w:rPr>
              <w:t xml:space="preserve">(including USD 45,140.00 non-resident VAT) </w:t>
            </w:r>
          </w:p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N/A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ind w:left="270"/>
            </w:pPr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944280">
        <w:tc>
          <w:tcPr>
            <w:tcW w:w="1908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Rank</w:t>
            </w:r>
          </w:p>
        </w:tc>
        <w:tc>
          <w:tcPr>
            <w:tcW w:w="2311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64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</w:tbl>
    <w:p w:rsidR="00944280" w:rsidRDefault="00FA466E">
      <w:pPr>
        <w:pStyle w:val="NormalWeb"/>
        <w:spacing w:before="120" w:beforeAutospacing="0" w:after="12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8"/>
          <w:szCs w:val="18"/>
        </w:rPr>
        <w:t xml:space="preserve">Other Shortlisted Consultant(s)/Firm(s) </w:t>
      </w:r>
    </w:p>
    <w:tbl>
      <w:tblPr>
        <w:tblW w:w="8895" w:type="dxa"/>
        <w:tblLayout w:type="fixed"/>
        <w:tblLook w:val="04A0"/>
      </w:tblPr>
      <w:tblGrid>
        <w:gridCol w:w="1908"/>
        <w:gridCol w:w="6987"/>
      </w:tblGrid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Consultants’ names</w:t>
            </w:r>
          </w:p>
        </w:tc>
        <w:tc>
          <w:tcPr>
            <w:tcW w:w="6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adjustRightInd w:val="0"/>
            </w:pPr>
            <w:r>
              <w:rPr>
                <w:rFonts w:eastAsiaTheme="minorHAnsi"/>
                <w:bCs/>
                <w:iCs/>
                <w:sz w:val="27"/>
                <w:szCs w:val="27"/>
              </w:rPr>
              <w:t>dotGov Solutions LLC (USA) and sub-consultant Zenta</w:t>
            </w:r>
          </w:p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Limited (Armenia)</w:t>
            </w:r>
          </w:p>
        </w:tc>
      </w:tr>
      <w:tr w:rsidR="00944280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r>
              <w:rPr>
                <w:rFonts w:ascii="Verdana" w:hAnsi="Verdana"/>
                <w:sz w:val="18"/>
                <w:szCs w:val="18"/>
              </w:rPr>
              <w:t>City/Country</w:t>
            </w:r>
          </w:p>
        </w:tc>
        <w:tc>
          <w:tcPr>
            <w:tcW w:w="6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r>
              <w:rPr>
                <w:rFonts w:eastAsiaTheme="minorHAnsi"/>
                <w:bCs/>
                <w:iCs/>
                <w:sz w:val="27"/>
                <w:szCs w:val="27"/>
              </w:rPr>
              <w:t>USA</w:t>
            </w:r>
          </w:p>
        </w:tc>
      </w:tr>
      <w:tr w:rsidR="00944280">
        <w:trPr>
          <w:trHeight w:val="156"/>
        </w:trPr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BE5F1" w:themeFill="accent1" w:themeFillTint="33"/>
            <w:hideMark/>
          </w:tcPr>
          <w:p w:rsidR="00944280" w:rsidRDefault="00FA466E">
            <w:pPr>
              <w:spacing w:line="156" w:lineRule="atLeast"/>
            </w:pPr>
            <w:r>
              <w:rPr>
                <w:rFonts w:ascii="Verdana" w:hAnsi="Verdana"/>
                <w:sz w:val="18"/>
                <w:szCs w:val="18"/>
              </w:rPr>
              <w:t>Proposal Submitted:</w:t>
            </w:r>
          </w:p>
        </w:tc>
        <w:tc>
          <w:tcPr>
            <w:tcW w:w="69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944280" w:rsidRDefault="00FA466E">
            <w:pPr>
              <w:spacing w:line="156" w:lineRule="atLeast"/>
            </w:pPr>
            <w:r>
              <w:rPr>
                <w:rFonts w:eastAsiaTheme="minorHAnsi"/>
                <w:bCs/>
                <w:iCs/>
                <w:sz w:val="27"/>
                <w:szCs w:val="27"/>
              </w:rPr>
              <w:t>No</w:t>
            </w:r>
          </w:p>
        </w:tc>
      </w:tr>
    </w:tbl>
    <w:p w:rsidR="00944280" w:rsidRDefault="00FA466E">
      <w:pPr>
        <w:pStyle w:val="NormalWeb"/>
        <w:rPr>
          <w:rFonts w:ascii="Verdana" w:hAnsi="Verdana"/>
          <w:sz w:val="20"/>
          <w:szCs w:val="20"/>
        </w:rPr>
      </w:pPr>
      <w:r>
        <w:rPr>
          <w:rStyle w:val="Strong"/>
          <w:rFonts w:asciiTheme="minorHAnsi" w:hAnsiTheme="minorHAnsi"/>
          <w:bCs w:val="0"/>
          <w:sz w:val="22"/>
          <w:szCs w:val="22"/>
        </w:rPr>
        <w:t> </w:t>
      </w:r>
    </w:p>
    <w:p w:rsidR="00944280" w:rsidRDefault="00FA466E">
      <w:r>
        <w:rPr>
          <w:sz w:val="27"/>
          <w:szCs w:val="27"/>
        </w:rPr>
        <w:t> </w:t>
      </w:r>
    </w:p>
    <w:p w:rsidR="00FA466E" w:rsidRDefault="00FA466E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</w:t>
      </w:r>
    </w:p>
    <w:sectPr w:rsidR="00FA466E" w:rsidSect="007D2CE6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noPunctuationKerning/>
  <w:characterSpacingControl w:val="doNotCompress"/>
  <w:compat/>
  <w:rsids>
    <w:rsidRoot w:val="00003323"/>
    <w:rsid w:val="00003323"/>
    <w:rsid w:val="007D2CE6"/>
    <w:rsid w:val="00944280"/>
    <w:rsid w:val="00FA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280"/>
    <w:rPr>
      <w:rFonts w:eastAsiaTheme="minorEastAsia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44280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94428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94428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44280"/>
    <w:rPr>
      <w:b/>
      <w:bCs/>
    </w:rPr>
  </w:style>
  <w:style w:type="character" w:styleId="Emphasis">
    <w:name w:val="Emphasis"/>
    <w:basedOn w:val="DefaultParagraphFont"/>
    <w:uiPriority w:val="20"/>
    <w:qFormat/>
    <w:rsid w:val="00944280"/>
    <w:rPr>
      <w:i/>
      <w:iCs/>
    </w:rPr>
  </w:style>
  <w:style w:type="paragraph" w:customStyle="1" w:styleId="default">
    <w:name w:val="default"/>
    <w:basedOn w:val="Normal"/>
    <w:rsid w:val="0094428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2015-10-28T05:04:00Z</dcterms:created>
  <dcterms:modified xsi:type="dcterms:W3CDTF">2015-10-28T08:53:00Z</dcterms:modified>
</cp:coreProperties>
</file>