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DD3" w:rsidRPr="00AA024C" w:rsidRDefault="00090DD3" w:rsidP="00DD1338">
      <w:pPr>
        <w:pStyle w:val="HTMLPreformatted"/>
        <w:shd w:val="clear" w:color="auto" w:fill="FFFFFF"/>
        <w:tabs>
          <w:tab w:val="clear" w:pos="916"/>
          <w:tab w:val="clear" w:pos="1832"/>
          <w:tab w:val="left" w:pos="1418"/>
        </w:tabs>
        <w:ind w:left="851"/>
        <w:rPr>
          <w:rFonts w:ascii="Times New Roman" w:hAnsi="Times New Roman" w:cs="Times New Roman"/>
          <w:position w:val="6"/>
          <w:sz w:val="24"/>
          <w:szCs w:val="24"/>
          <w:lang w:val="en-GB"/>
        </w:rPr>
      </w:pPr>
    </w:p>
    <w:p w:rsidR="00CB5AEF" w:rsidRPr="00AA024C" w:rsidRDefault="00CB5AEF" w:rsidP="002D7695">
      <w:pPr>
        <w:pStyle w:val="BodyTextIndent"/>
        <w:spacing w:line="240" w:lineRule="auto"/>
        <w:jc w:val="center"/>
        <w:rPr>
          <w:rFonts w:ascii="Times New Roman" w:hAnsi="Times New Roman"/>
          <w:i w:val="0"/>
          <w:sz w:val="24"/>
          <w:szCs w:val="24"/>
          <w:lang w:val="en-GB"/>
        </w:rPr>
      </w:pPr>
      <w:r w:rsidRPr="00AA024C">
        <w:rPr>
          <w:rFonts w:ascii="Times New Roman" w:hAnsi="Times New Roman"/>
          <w:i w:val="0"/>
          <w:sz w:val="24"/>
          <w:szCs w:val="24"/>
          <w:lang w:val="en-GB"/>
        </w:rPr>
        <w:t>PRE-QUALIFICATION ANNOUNCEMENT REGARDING</w:t>
      </w:r>
    </w:p>
    <w:p w:rsidR="00CB5AEF" w:rsidRPr="00AA024C" w:rsidRDefault="00CB5AEF" w:rsidP="002D7695">
      <w:pPr>
        <w:pStyle w:val="BodyTextIndent"/>
        <w:spacing w:line="240" w:lineRule="auto"/>
        <w:jc w:val="center"/>
        <w:rPr>
          <w:rFonts w:ascii="Times New Roman" w:hAnsi="Times New Roman"/>
          <w:sz w:val="24"/>
          <w:szCs w:val="24"/>
          <w:lang w:val="en-GB"/>
        </w:rPr>
      </w:pPr>
      <w:r w:rsidRPr="00AA024C">
        <w:rPr>
          <w:rFonts w:ascii="Times New Roman" w:hAnsi="Times New Roman"/>
          <w:i w:val="0"/>
          <w:sz w:val="24"/>
          <w:szCs w:val="24"/>
          <w:lang w:val="en-GB"/>
        </w:rPr>
        <w:t xml:space="preserve">COMPETITIVE DIALOGUE PROCEDURE CODE </w:t>
      </w:r>
      <w:r w:rsidRPr="00D9468F">
        <w:rPr>
          <w:rFonts w:ascii="Times New Roman" w:hAnsi="Times New Roman"/>
          <w:i w:val="0"/>
          <w:color w:val="000000" w:themeColor="text1"/>
          <w:sz w:val="24"/>
          <w:szCs w:val="24"/>
          <w:lang w:val="en-GB"/>
        </w:rPr>
        <w:t xml:space="preserve">N </w:t>
      </w:r>
      <w:r w:rsidR="00D9468F" w:rsidRPr="00F52AF6">
        <w:rPr>
          <w:rFonts w:ascii="Times New Roman" w:hAnsi="Times New Roman"/>
          <w:i w:val="0"/>
          <w:color w:val="000000" w:themeColor="text1"/>
          <w:sz w:val="24"/>
          <w:szCs w:val="24"/>
          <w:lang w:val="en-GB"/>
        </w:rPr>
        <w:t>S</w:t>
      </w:r>
      <w:r w:rsidR="00E6143A" w:rsidRPr="00F52AF6">
        <w:rPr>
          <w:rFonts w:ascii="Times New Roman" w:hAnsi="Times New Roman"/>
          <w:i w:val="0"/>
          <w:color w:val="000000" w:themeColor="text1"/>
          <w:sz w:val="24"/>
          <w:szCs w:val="24"/>
          <w:lang w:val="en-GB"/>
        </w:rPr>
        <w:t>CWE</w:t>
      </w:r>
      <w:r w:rsidR="00C17F42" w:rsidRPr="00F52AF6">
        <w:rPr>
          <w:rFonts w:ascii="Times New Roman" w:hAnsi="Times New Roman"/>
          <w:i w:val="0"/>
          <w:color w:val="000000" w:themeColor="text1"/>
          <w:sz w:val="24"/>
          <w:szCs w:val="24"/>
          <w:lang w:val="en-GB"/>
        </w:rPr>
        <w:t xml:space="preserve"> </w:t>
      </w:r>
      <w:r w:rsidR="00E6143A" w:rsidRPr="00F52AF6">
        <w:rPr>
          <w:rFonts w:ascii="Times New Roman" w:hAnsi="Times New Roman"/>
          <w:i w:val="0"/>
          <w:color w:val="000000" w:themeColor="text1"/>
          <w:sz w:val="24"/>
          <w:szCs w:val="24"/>
          <w:lang w:val="en-GB"/>
        </w:rPr>
        <w:t>of</w:t>
      </w:r>
      <w:r w:rsidR="00C17F42" w:rsidRPr="00F52AF6">
        <w:rPr>
          <w:rFonts w:ascii="Times New Roman" w:hAnsi="Times New Roman"/>
          <w:i w:val="0"/>
          <w:color w:val="000000" w:themeColor="text1"/>
          <w:sz w:val="24"/>
          <w:szCs w:val="24"/>
          <w:lang w:val="en-GB"/>
        </w:rPr>
        <w:t xml:space="preserve"> </w:t>
      </w:r>
      <w:r w:rsidR="00E6143A" w:rsidRPr="00F52AF6">
        <w:rPr>
          <w:rFonts w:ascii="Times New Roman" w:hAnsi="Times New Roman"/>
          <w:i w:val="0"/>
          <w:color w:val="000000" w:themeColor="text1"/>
          <w:sz w:val="24"/>
          <w:szCs w:val="24"/>
          <w:lang w:val="en-GB"/>
        </w:rPr>
        <w:t>RA</w:t>
      </w:r>
      <w:r w:rsidR="00C17F42" w:rsidRPr="00F52AF6">
        <w:rPr>
          <w:rFonts w:ascii="Times New Roman" w:hAnsi="Times New Roman"/>
          <w:i w:val="0"/>
          <w:color w:val="000000" w:themeColor="text1"/>
          <w:sz w:val="24"/>
          <w:szCs w:val="24"/>
          <w:lang w:val="en-GB"/>
        </w:rPr>
        <w:t xml:space="preserve"> </w:t>
      </w:r>
      <w:r w:rsidR="00E6143A" w:rsidRPr="00F52AF6">
        <w:rPr>
          <w:rFonts w:ascii="Times New Roman" w:hAnsi="Times New Roman"/>
          <w:i w:val="0"/>
          <w:color w:val="000000" w:themeColor="text1"/>
          <w:sz w:val="24"/>
          <w:szCs w:val="24"/>
          <w:lang w:val="en-GB"/>
        </w:rPr>
        <w:t>MoA</w:t>
      </w:r>
      <w:r w:rsidR="00A0745F" w:rsidRPr="00F52AF6">
        <w:rPr>
          <w:rFonts w:ascii="Times New Roman" w:hAnsi="Times New Roman"/>
          <w:i w:val="0"/>
          <w:color w:val="000000" w:themeColor="text1"/>
          <w:sz w:val="24"/>
          <w:szCs w:val="24"/>
          <w:lang w:val="en-GB"/>
        </w:rPr>
        <w:t>-</w:t>
      </w:r>
      <w:r w:rsidR="00E6143A" w:rsidRPr="00F52AF6">
        <w:rPr>
          <w:rFonts w:ascii="Times New Roman" w:hAnsi="Times New Roman"/>
          <w:i w:val="0"/>
          <w:color w:val="000000" w:themeColor="text1"/>
          <w:sz w:val="24"/>
          <w:szCs w:val="24"/>
          <w:lang w:val="en-GB"/>
        </w:rPr>
        <w:t>CDSA</w:t>
      </w:r>
      <w:r w:rsidR="00A0745F" w:rsidRPr="00F52AF6">
        <w:rPr>
          <w:rFonts w:ascii="Times New Roman" w:hAnsi="Times New Roman"/>
          <w:i w:val="0"/>
          <w:color w:val="000000" w:themeColor="text1"/>
          <w:sz w:val="24"/>
          <w:szCs w:val="24"/>
          <w:lang w:val="en-GB"/>
        </w:rPr>
        <w:t>-</w:t>
      </w:r>
      <w:r w:rsidR="00A0745F" w:rsidRPr="00F52AF6">
        <w:rPr>
          <w:rFonts w:ascii="Times New Roman" w:hAnsi="Times New Roman"/>
          <w:i w:val="0"/>
          <w:sz w:val="24"/>
          <w:szCs w:val="24"/>
          <w:lang w:val="en-GB"/>
        </w:rPr>
        <w:t>N</w:t>
      </w:r>
      <w:r w:rsidR="00DF7EEB">
        <w:rPr>
          <w:rFonts w:ascii="Times New Roman" w:hAnsi="Times New Roman"/>
          <w:i w:val="0"/>
          <w:sz w:val="24"/>
          <w:szCs w:val="24"/>
          <w:lang w:val="en-GB"/>
        </w:rPr>
        <w:t xml:space="preserve"> 15/1</w:t>
      </w:r>
    </w:p>
    <w:p w:rsidR="00617E67" w:rsidRPr="00AA024C" w:rsidRDefault="00617E67" w:rsidP="00617E67">
      <w:pPr>
        <w:pStyle w:val="HTMLPreformatted"/>
        <w:shd w:val="clear" w:color="auto" w:fill="FFFFFF"/>
        <w:jc w:val="center"/>
        <w:rPr>
          <w:rFonts w:ascii="Times New Roman" w:hAnsi="Times New Roman" w:cs="Times New Roman"/>
          <w:color w:val="212121"/>
          <w:sz w:val="24"/>
          <w:szCs w:val="24"/>
          <w:lang w:val="en-GB"/>
        </w:rPr>
      </w:pPr>
    </w:p>
    <w:p w:rsidR="00CB5AEF" w:rsidRPr="00D94BA6" w:rsidRDefault="00CB5AEF" w:rsidP="00CB5AEF">
      <w:pPr>
        <w:pStyle w:val="HTMLPreformatted"/>
        <w:shd w:val="clear" w:color="auto" w:fill="FFFFFF"/>
        <w:jc w:val="center"/>
        <w:rPr>
          <w:rFonts w:ascii="Times New Roman" w:hAnsi="Times New Roman" w:cs="Times New Roman"/>
          <w:color w:val="212121"/>
          <w:sz w:val="24"/>
          <w:szCs w:val="24"/>
          <w:lang w:val="en-GB"/>
        </w:rPr>
      </w:pPr>
      <w:r w:rsidRPr="00D94BA6">
        <w:rPr>
          <w:rFonts w:ascii="Times New Roman" w:hAnsi="Times New Roman" w:cs="Times New Roman"/>
          <w:color w:val="212121"/>
          <w:sz w:val="24"/>
          <w:szCs w:val="24"/>
          <w:lang w:val="en-GB"/>
        </w:rPr>
        <w:t>The text of</w:t>
      </w:r>
      <w:r w:rsidR="00CB7D66" w:rsidRPr="00D94BA6">
        <w:rPr>
          <w:rFonts w:ascii="Times New Roman" w:hAnsi="Times New Roman" w:cs="Times New Roman"/>
          <w:color w:val="212121"/>
          <w:sz w:val="24"/>
          <w:szCs w:val="24"/>
          <w:lang w:val="en-GB"/>
        </w:rPr>
        <w:t xml:space="preserve"> </w:t>
      </w:r>
      <w:r w:rsidR="00E74E3E">
        <w:rPr>
          <w:rFonts w:ascii="Times New Roman" w:hAnsi="Times New Roman" w:cs="Times New Roman"/>
          <w:color w:val="212121"/>
          <w:sz w:val="24"/>
          <w:szCs w:val="24"/>
          <w:lang w:val="en-GB"/>
        </w:rPr>
        <w:t xml:space="preserve">the </w:t>
      </w:r>
      <w:r w:rsidR="00CB7D66" w:rsidRPr="00D94BA6">
        <w:rPr>
          <w:rFonts w:ascii="Times New Roman" w:hAnsi="Times New Roman" w:cs="Times New Roman"/>
          <w:color w:val="212121"/>
          <w:sz w:val="24"/>
          <w:szCs w:val="24"/>
          <w:lang w:val="en-GB"/>
        </w:rPr>
        <w:t>announcement of</w:t>
      </w:r>
      <w:r w:rsidRPr="00D94BA6">
        <w:rPr>
          <w:rFonts w:ascii="Times New Roman" w:hAnsi="Times New Roman" w:cs="Times New Roman"/>
          <w:color w:val="212121"/>
          <w:sz w:val="24"/>
          <w:szCs w:val="24"/>
          <w:lang w:val="en-GB"/>
        </w:rPr>
        <w:t xml:space="preserve"> the competitive dialogue procedure is </w:t>
      </w:r>
      <w:r w:rsidR="00E74E3E" w:rsidRPr="00D94BA6">
        <w:rPr>
          <w:rFonts w:ascii="Times New Roman" w:hAnsi="Times New Roman" w:cs="Times New Roman"/>
          <w:color w:val="212121"/>
          <w:sz w:val="24"/>
          <w:szCs w:val="24"/>
          <w:lang w:val="en-GB"/>
        </w:rPr>
        <w:t xml:space="preserve">herewith </w:t>
      </w:r>
      <w:r w:rsidRPr="00D94BA6">
        <w:rPr>
          <w:rFonts w:ascii="Times New Roman" w:hAnsi="Times New Roman" w:cs="Times New Roman"/>
          <w:color w:val="212121"/>
          <w:sz w:val="24"/>
          <w:szCs w:val="24"/>
          <w:lang w:val="en-GB"/>
        </w:rPr>
        <w:t xml:space="preserve">approved by the </w:t>
      </w:r>
      <w:r w:rsidR="00A22066" w:rsidRPr="00D94BA6">
        <w:rPr>
          <w:rFonts w:ascii="Times New Roman" w:hAnsi="Times New Roman" w:cs="Times New Roman"/>
          <w:color w:val="212121"/>
          <w:sz w:val="24"/>
          <w:szCs w:val="24"/>
          <w:lang w:val="en-GB"/>
        </w:rPr>
        <w:t>E</w:t>
      </w:r>
      <w:r w:rsidRPr="00D94BA6">
        <w:rPr>
          <w:rFonts w:ascii="Times New Roman" w:hAnsi="Times New Roman" w:cs="Times New Roman"/>
          <w:color w:val="212121"/>
          <w:sz w:val="24"/>
          <w:szCs w:val="24"/>
          <w:lang w:val="en-GB"/>
        </w:rPr>
        <w:t xml:space="preserve">valuation </w:t>
      </w:r>
      <w:r w:rsidR="00A22066" w:rsidRPr="00AA4777">
        <w:rPr>
          <w:rFonts w:ascii="Times New Roman" w:hAnsi="Times New Roman" w:cs="Times New Roman"/>
          <w:color w:val="212121"/>
          <w:sz w:val="24"/>
          <w:szCs w:val="24"/>
          <w:lang w:val="en-US"/>
        </w:rPr>
        <w:t>C</w:t>
      </w:r>
      <w:r w:rsidRPr="00AA4777">
        <w:rPr>
          <w:rFonts w:ascii="Times New Roman" w:hAnsi="Times New Roman" w:cs="Times New Roman"/>
          <w:color w:val="212121"/>
          <w:sz w:val="24"/>
          <w:szCs w:val="24"/>
          <w:lang w:val="en-US"/>
        </w:rPr>
        <w:t>ommittee</w:t>
      </w:r>
      <w:r w:rsidR="00CB7D66" w:rsidRPr="00AA4777">
        <w:rPr>
          <w:rFonts w:ascii="Times New Roman" w:hAnsi="Times New Roman" w:cs="Times New Roman"/>
          <w:color w:val="212121"/>
          <w:sz w:val="24"/>
          <w:szCs w:val="24"/>
          <w:lang w:val="en-US"/>
        </w:rPr>
        <w:t xml:space="preserve"> </w:t>
      </w:r>
      <w:r w:rsidR="009737AA" w:rsidRPr="00AA4777">
        <w:rPr>
          <w:rFonts w:ascii="Times New Roman" w:hAnsi="Times New Roman" w:cs="Times New Roman"/>
          <w:color w:val="212121"/>
          <w:sz w:val="24"/>
          <w:szCs w:val="24"/>
          <w:lang w:val="en-US"/>
        </w:rPr>
        <w:t xml:space="preserve">Decree </w:t>
      </w:r>
      <w:r w:rsidRPr="00AA4777">
        <w:rPr>
          <w:rFonts w:ascii="Times New Roman" w:hAnsi="Times New Roman" w:cs="Times New Roman"/>
          <w:color w:val="212121"/>
          <w:sz w:val="24"/>
          <w:szCs w:val="24"/>
          <w:lang w:val="en-US"/>
        </w:rPr>
        <w:t>N 1 dated</w:t>
      </w:r>
      <w:r w:rsidR="00CB7D66" w:rsidRPr="00AA4777">
        <w:rPr>
          <w:rFonts w:ascii="Times New Roman" w:hAnsi="Times New Roman" w:cs="Times New Roman"/>
          <w:color w:val="212121"/>
          <w:sz w:val="24"/>
          <w:szCs w:val="24"/>
          <w:lang w:val="en-US"/>
        </w:rPr>
        <w:t xml:space="preserve"> </w:t>
      </w:r>
      <w:r w:rsidR="00532D22" w:rsidRPr="00F52AF6">
        <w:rPr>
          <w:rFonts w:ascii="Times New Roman" w:hAnsi="Times New Roman" w:cs="Times New Roman"/>
          <w:color w:val="212121"/>
          <w:sz w:val="24"/>
          <w:szCs w:val="24"/>
          <w:lang w:val="en-US"/>
        </w:rPr>
        <w:t xml:space="preserve">December </w:t>
      </w:r>
      <w:r w:rsidR="008F7BF7" w:rsidRPr="008F7BF7">
        <w:rPr>
          <w:rFonts w:ascii="Times New Roman" w:hAnsi="Times New Roman" w:cs="Times New Roman"/>
          <w:sz w:val="24"/>
          <w:szCs w:val="24"/>
          <w:lang w:val="en-US"/>
        </w:rPr>
        <w:t>15</w:t>
      </w:r>
      <w:r w:rsidR="008F7BF7">
        <w:rPr>
          <w:rFonts w:ascii="Times New Roman" w:hAnsi="Times New Roman" w:cs="Times New Roman"/>
          <w:color w:val="212121"/>
          <w:sz w:val="24"/>
          <w:szCs w:val="24"/>
          <w:lang w:val="en-US"/>
        </w:rPr>
        <w:t xml:space="preserve">, </w:t>
      </w:r>
      <w:r w:rsidRPr="00F52AF6">
        <w:rPr>
          <w:rFonts w:ascii="Times New Roman" w:hAnsi="Times New Roman" w:cs="Times New Roman"/>
          <w:color w:val="212121"/>
          <w:sz w:val="24"/>
          <w:szCs w:val="24"/>
          <w:lang w:val="en-US"/>
        </w:rPr>
        <w:t>2015</w:t>
      </w:r>
      <w:r w:rsidRPr="00D94BA6">
        <w:rPr>
          <w:rFonts w:ascii="Times New Roman" w:hAnsi="Times New Roman" w:cs="Times New Roman"/>
          <w:color w:val="212121"/>
          <w:sz w:val="24"/>
          <w:szCs w:val="24"/>
          <w:lang w:val="en-GB"/>
        </w:rPr>
        <w:t xml:space="preserve"> and is </w:t>
      </w:r>
      <w:r w:rsidR="00CB7D66" w:rsidRPr="00D94BA6">
        <w:rPr>
          <w:rFonts w:ascii="Times New Roman" w:hAnsi="Times New Roman" w:cs="Times New Roman"/>
          <w:color w:val="212121"/>
          <w:sz w:val="24"/>
          <w:szCs w:val="24"/>
          <w:lang w:val="en-GB"/>
        </w:rPr>
        <w:t>published in accordance with</w:t>
      </w:r>
      <w:r w:rsidRPr="00D94BA6">
        <w:rPr>
          <w:rFonts w:ascii="Times New Roman" w:hAnsi="Times New Roman" w:cs="Times New Roman"/>
          <w:color w:val="212121"/>
          <w:sz w:val="24"/>
          <w:szCs w:val="24"/>
          <w:lang w:val="en-GB"/>
        </w:rPr>
        <w:t xml:space="preserve"> Arti</w:t>
      </w:r>
      <w:r w:rsidRPr="00AA4777">
        <w:rPr>
          <w:rFonts w:ascii="Times New Roman" w:hAnsi="Times New Roman" w:cs="Times New Roman"/>
          <w:color w:val="212121"/>
          <w:sz w:val="24"/>
          <w:szCs w:val="24"/>
          <w:lang w:val="en-US"/>
        </w:rPr>
        <w:t>cle 21 of the</w:t>
      </w:r>
      <w:r w:rsidR="00CB7D66" w:rsidRPr="00AA4777">
        <w:rPr>
          <w:rFonts w:ascii="Times New Roman" w:hAnsi="Times New Roman" w:cs="Times New Roman"/>
          <w:color w:val="212121"/>
          <w:sz w:val="24"/>
          <w:szCs w:val="24"/>
          <w:lang w:val="en-US"/>
        </w:rPr>
        <w:t xml:space="preserve"> </w:t>
      </w:r>
      <w:r w:rsidRPr="00D94BA6">
        <w:rPr>
          <w:rFonts w:ascii="Times New Roman" w:hAnsi="Times New Roman" w:cs="Times New Roman"/>
          <w:sz w:val="24"/>
          <w:szCs w:val="24"/>
          <w:lang w:val="en-GB"/>
        </w:rPr>
        <w:t>Law on Procurement</w:t>
      </w:r>
      <w:r w:rsidR="00CB7D66" w:rsidRPr="00D94BA6">
        <w:rPr>
          <w:rFonts w:ascii="Times New Roman" w:hAnsi="Times New Roman" w:cs="Times New Roman"/>
          <w:sz w:val="24"/>
          <w:szCs w:val="24"/>
          <w:lang w:val="en-GB"/>
        </w:rPr>
        <w:t xml:space="preserve"> of the Republic of Armenia</w:t>
      </w:r>
    </w:p>
    <w:p w:rsidR="00FB1557" w:rsidRPr="00AA024C" w:rsidRDefault="00FB1557" w:rsidP="00FB1557">
      <w:pPr>
        <w:pStyle w:val="BodyTextIndent"/>
        <w:spacing w:line="240" w:lineRule="auto"/>
        <w:jc w:val="center"/>
        <w:rPr>
          <w:rFonts w:ascii="Times New Roman" w:hAnsi="Times New Roman"/>
          <w:i w:val="0"/>
          <w:sz w:val="24"/>
          <w:szCs w:val="24"/>
          <w:lang w:val="en-GB"/>
        </w:rPr>
      </w:pPr>
    </w:p>
    <w:p w:rsidR="00FB1557" w:rsidRPr="00AA024C" w:rsidRDefault="000F5131" w:rsidP="000F5131">
      <w:pPr>
        <w:pStyle w:val="BodyTextIndent"/>
        <w:spacing w:line="240" w:lineRule="auto"/>
        <w:jc w:val="center"/>
        <w:rPr>
          <w:rFonts w:ascii="Times New Roman" w:hAnsi="Times New Roman"/>
          <w:i w:val="0"/>
          <w:sz w:val="24"/>
          <w:szCs w:val="24"/>
          <w:lang w:val="en-GB"/>
        </w:rPr>
      </w:pPr>
      <w:r w:rsidRPr="00AA024C">
        <w:rPr>
          <w:rFonts w:ascii="Times New Roman" w:hAnsi="Times New Roman"/>
          <w:i w:val="0"/>
          <w:sz w:val="24"/>
          <w:szCs w:val="24"/>
          <w:lang w:val="en-GB"/>
        </w:rPr>
        <w:t xml:space="preserve"> </w:t>
      </w:r>
    </w:p>
    <w:p w:rsidR="00CB5AEF" w:rsidRPr="00AA024C" w:rsidRDefault="00CB5AEF" w:rsidP="00AA4777">
      <w:pPr>
        <w:pStyle w:val="HTMLPreformatted"/>
        <w:numPr>
          <w:ilvl w:val="0"/>
          <w:numId w:val="15"/>
        </w:numPr>
        <w:shd w:val="clear" w:color="auto" w:fill="FFFFFF"/>
        <w:tabs>
          <w:tab w:val="clear" w:pos="916"/>
          <w:tab w:val="left" w:pos="709"/>
        </w:tabs>
        <w:ind w:left="142" w:firstLine="0"/>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 xml:space="preserve">The </w:t>
      </w:r>
      <w:r w:rsidR="00196B02" w:rsidRPr="00AA024C">
        <w:rPr>
          <w:rFonts w:ascii="Times New Roman" w:hAnsi="Times New Roman" w:cs="Times New Roman"/>
          <w:color w:val="212121"/>
          <w:sz w:val="24"/>
          <w:szCs w:val="24"/>
          <w:lang w:val="en-GB"/>
        </w:rPr>
        <w:t>C</w:t>
      </w:r>
      <w:r w:rsidRPr="00AA024C">
        <w:rPr>
          <w:rFonts w:ascii="Times New Roman" w:hAnsi="Times New Roman" w:cs="Times New Roman"/>
          <w:color w:val="212121"/>
          <w:sz w:val="24"/>
          <w:szCs w:val="24"/>
          <w:lang w:val="en-GB"/>
        </w:rPr>
        <w:t>lient, namely the</w:t>
      </w:r>
      <w:r w:rsidR="006D6965" w:rsidRPr="00AA4777">
        <w:rPr>
          <w:rFonts w:ascii="Times New Roman" w:hAnsi="Times New Roman" w:cs="Times New Roman"/>
          <w:sz w:val="24"/>
          <w:szCs w:val="24"/>
          <w:lang w:val="en-GB"/>
        </w:rPr>
        <w:t xml:space="preserve"> </w:t>
      </w:r>
      <w:r w:rsidR="00CB7D66" w:rsidRPr="00AA4777">
        <w:rPr>
          <w:rFonts w:ascii="Times New Roman" w:hAnsi="Times New Roman" w:cs="Times New Roman"/>
          <w:sz w:val="24"/>
          <w:szCs w:val="24"/>
          <w:lang w:val="en-GB"/>
        </w:rPr>
        <w:t>State Committee of Water Economy of the Ministry of Agriculture of the Republic of Armenia, located in 13a, Vardanants Street, Yerevan, 0010, Republic of Armenia</w:t>
      </w:r>
      <w:r w:rsidR="00041D90" w:rsidRPr="00AA024C">
        <w:rPr>
          <w:rFonts w:ascii="Times New Roman" w:hAnsi="Times New Roman" w:cs="Times New Roman"/>
          <w:color w:val="212121"/>
          <w:sz w:val="24"/>
          <w:szCs w:val="24"/>
          <w:lang w:val="en-GB"/>
        </w:rPr>
        <w:t>,</w:t>
      </w:r>
      <w:r w:rsidR="007D227B">
        <w:rPr>
          <w:rFonts w:ascii="Times New Roman" w:hAnsi="Times New Roman" w:cs="Times New Roman"/>
          <w:color w:val="212121"/>
          <w:sz w:val="24"/>
          <w:szCs w:val="24"/>
          <w:lang w:val="en-GB"/>
        </w:rPr>
        <w:t xml:space="preserve"> </w:t>
      </w:r>
      <w:r w:rsidR="00D203AC">
        <w:rPr>
          <w:rFonts w:ascii="Times New Roman" w:hAnsi="Times New Roman" w:cs="Times New Roman"/>
          <w:color w:val="212121"/>
          <w:sz w:val="24"/>
          <w:szCs w:val="24"/>
          <w:lang w:val="en-GB"/>
        </w:rPr>
        <w:t>guided by</w:t>
      </w:r>
      <w:r w:rsidR="007D227B">
        <w:rPr>
          <w:rFonts w:ascii="Times New Roman" w:hAnsi="Times New Roman" w:cs="Times New Roman"/>
          <w:color w:val="212121"/>
          <w:sz w:val="24"/>
          <w:szCs w:val="24"/>
          <w:lang w:val="en-GB"/>
        </w:rPr>
        <w:t xml:space="preserve"> point 4 of the Decree of the Government of the Republic of Armenia N 1233-N dated October 15, 2015,</w:t>
      </w:r>
      <w:r w:rsidRPr="00AA024C">
        <w:rPr>
          <w:rFonts w:ascii="Times New Roman" w:hAnsi="Times New Roman" w:cs="Times New Roman"/>
          <w:color w:val="212121"/>
          <w:sz w:val="24"/>
          <w:szCs w:val="24"/>
          <w:lang w:val="en-GB"/>
        </w:rPr>
        <w:t xml:space="preserve"> announces the competitive dialogue procedure and, in relation to this, under part 1 of the Article 21 of the </w:t>
      </w:r>
      <w:r w:rsidRPr="00AA024C">
        <w:rPr>
          <w:rFonts w:ascii="Times New Roman" w:hAnsi="Times New Roman" w:cs="Times New Roman"/>
          <w:sz w:val="24"/>
          <w:szCs w:val="24"/>
          <w:lang w:val="en-GB"/>
        </w:rPr>
        <w:t>Law on Procurement</w:t>
      </w:r>
      <w:r w:rsidR="00CB7D66" w:rsidRPr="00AA024C">
        <w:rPr>
          <w:rFonts w:ascii="Times New Roman" w:hAnsi="Times New Roman" w:cs="Times New Roman"/>
          <w:sz w:val="24"/>
          <w:szCs w:val="24"/>
          <w:lang w:val="en-GB"/>
        </w:rPr>
        <w:t xml:space="preserve"> of the Republic of Armenia</w:t>
      </w:r>
      <w:r w:rsidRPr="00AA024C">
        <w:rPr>
          <w:rFonts w:ascii="Times New Roman" w:hAnsi="Times New Roman" w:cs="Times New Roman"/>
          <w:sz w:val="24"/>
          <w:szCs w:val="24"/>
          <w:lang w:val="en-GB"/>
        </w:rPr>
        <w:t xml:space="preserve"> </w:t>
      </w:r>
      <w:r w:rsidRPr="00AA024C">
        <w:rPr>
          <w:rFonts w:ascii="Times New Roman" w:hAnsi="Times New Roman" w:cs="Times New Roman"/>
          <w:color w:val="212121"/>
          <w:sz w:val="24"/>
          <w:szCs w:val="24"/>
          <w:lang w:val="en-GB"/>
        </w:rPr>
        <w:t>the following pre-qualification procedure.</w:t>
      </w:r>
    </w:p>
    <w:p w:rsidR="006D6965" w:rsidRPr="00AA024C" w:rsidRDefault="006D6965" w:rsidP="00AF09B1">
      <w:pPr>
        <w:pStyle w:val="HTMLPreformatted"/>
        <w:shd w:val="clear" w:color="auto" w:fill="FFFFFF"/>
        <w:tabs>
          <w:tab w:val="clear" w:pos="916"/>
          <w:tab w:val="left" w:pos="709"/>
        </w:tabs>
        <w:jc w:val="both"/>
        <w:rPr>
          <w:rFonts w:ascii="Times New Roman" w:hAnsi="Times New Roman" w:cs="Times New Roman"/>
          <w:color w:val="212121"/>
          <w:sz w:val="24"/>
          <w:szCs w:val="24"/>
          <w:lang w:val="en-GB"/>
        </w:rPr>
      </w:pPr>
    </w:p>
    <w:p w:rsidR="00BB0DF0" w:rsidRPr="00AA024C" w:rsidRDefault="00DD1338" w:rsidP="00AF09B1">
      <w:pPr>
        <w:pStyle w:val="BodyTextIndent"/>
        <w:spacing w:line="240" w:lineRule="auto"/>
        <w:ind w:firstLine="708"/>
        <w:rPr>
          <w:rFonts w:ascii="Times New Roman" w:hAnsi="Times New Roman"/>
          <w:i w:val="0"/>
          <w:sz w:val="24"/>
          <w:szCs w:val="24"/>
          <w:lang w:val="en-GB"/>
        </w:rPr>
      </w:pPr>
      <w:r w:rsidRPr="00AA024C">
        <w:rPr>
          <w:rFonts w:ascii="Times New Roman" w:hAnsi="Times New Roman"/>
          <w:i w:val="0"/>
          <w:sz w:val="24"/>
          <w:szCs w:val="24"/>
          <w:lang w:val="en-GB"/>
        </w:rPr>
        <w:t xml:space="preserve">The subject of procurement is the lease </w:t>
      </w:r>
      <w:r w:rsidR="00041D90" w:rsidRPr="00AA024C">
        <w:rPr>
          <w:rFonts w:ascii="Times New Roman" w:hAnsi="Times New Roman"/>
          <w:i w:val="0"/>
          <w:sz w:val="24"/>
          <w:szCs w:val="24"/>
          <w:lang w:val="en-GB"/>
        </w:rPr>
        <w:t>of</w:t>
      </w:r>
      <w:r w:rsidRPr="00AA024C">
        <w:rPr>
          <w:rFonts w:ascii="Times New Roman" w:hAnsi="Times New Roman"/>
          <w:i w:val="0"/>
          <w:sz w:val="24"/>
          <w:szCs w:val="24"/>
          <w:lang w:val="en-GB"/>
        </w:rPr>
        <w:t xml:space="preserve"> water and wastewater systems and other property currently </w:t>
      </w:r>
      <w:r w:rsidR="00041D90" w:rsidRPr="00AA024C">
        <w:rPr>
          <w:rFonts w:ascii="Times New Roman" w:hAnsi="Times New Roman"/>
          <w:i w:val="0"/>
          <w:sz w:val="24"/>
          <w:szCs w:val="24"/>
          <w:lang w:val="en-GB"/>
        </w:rPr>
        <w:t xml:space="preserve">used and </w:t>
      </w:r>
      <w:r w:rsidR="00C856F6" w:rsidRPr="00AA024C">
        <w:rPr>
          <w:rFonts w:ascii="Times New Roman" w:hAnsi="Times New Roman"/>
          <w:i w:val="0"/>
          <w:sz w:val="24"/>
          <w:szCs w:val="24"/>
          <w:lang w:val="en-GB"/>
        </w:rPr>
        <w:t xml:space="preserve">maintained </w:t>
      </w:r>
      <w:r w:rsidRPr="00AA024C">
        <w:rPr>
          <w:rFonts w:ascii="Times New Roman" w:hAnsi="Times New Roman"/>
          <w:i w:val="0"/>
          <w:sz w:val="24"/>
          <w:szCs w:val="24"/>
          <w:lang w:val="en-GB"/>
        </w:rPr>
        <w:t xml:space="preserve">by </w:t>
      </w:r>
      <w:r w:rsidR="006373FD" w:rsidRPr="00AA024C">
        <w:rPr>
          <w:rFonts w:ascii="Times New Roman" w:hAnsi="Times New Roman"/>
          <w:i w:val="0"/>
          <w:sz w:val="24"/>
          <w:szCs w:val="24"/>
          <w:lang w:val="en-GB"/>
        </w:rPr>
        <w:t>“Yerevan Djur”, “</w:t>
      </w:r>
      <w:r w:rsidR="003C7784" w:rsidRPr="00AA024C">
        <w:rPr>
          <w:rFonts w:ascii="Times New Roman" w:hAnsi="Times New Roman"/>
          <w:i w:val="0"/>
          <w:sz w:val="24"/>
          <w:szCs w:val="24"/>
          <w:lang w:val="en-GB"/>
        </w:rPr>
        <w:t>Hayjrmughkoyughi</w:t>
      </w:r>
      <w:r w:rsidR="006373FD" w:rsidRPr="00AA024C">
        <w:rPr>
          <w:rFonts w:ascii="Times New Roman" w:hAnsi="Times New Roman"/>
          <w:i w:val="0"/>
          <w:sz w:val="24"/>
          <w:szCs w:val="24"/>
          <w:lang w:val="en-GB"/>
        </w:rPr>
        <w:t>”, “</w:t>
      </w:r>
      <w:r w:rsidR="003C7784" w:rsidRPr="00AA024C">
        <w:rPr>
          <w:rFonts w:ascii="Times New Roman" w:hAnsi="Times New Roman"/>
          <w:i w:val="0"/>
          <w:sz w:val="24"/>
          <w:szCs w:val="24"/>
          <w:lang w:val="en-GB"/>
        </w:rPr>
        <w:t>Lori</w:t>
      </w:r>
      <w:r w:rsidR="001D29B1" w:rsidRPr="00AA024C">
        <w:rPr>
          <w:rFonts w:ascii="Times New Roman" w:hAnsi="Times New Roman"/>
          <w:i w:val="0"/>
          <w:sz w:val="24"/>
          <w:szCs w:val="24"/>
          <w:lang w:val="en-GB"/>
        </w:rPr>
        <w:t>-</w:t>
      </w:r>
      <w:r w:rsidR="003C7784" w:rsidRPr="00AA024C">
        <w:rPr>
          <w:rFonts w:ascii="Times New Roman" w:hAnsi="Times New Roman"/>
          <w:i w:val="0"/>
          <w:sz w:val="24"/>
          <w:szCs w:val="24"/>
          <w:lang w:val="en-GB"/>
        </w:rPr>
        <w:t>jrmughkoyughi</w:t>
      </w:r>
      <w:r w:rsidR="006373FD" w:rsidRPr="00AA024C">
        <w:rPr>
          <w:rFonts w:ascii="Times New Roman" w:hAnsi="Times New Roman"/>
          <w:i w:val="0"/>
          <w:sz w:val="24"/>
          <w:szCs w:val="24"/>
          <w:lang w:val="en-GB"/>
        </w:rPr>
        <w:t>”, “Shirak</w:t>
      </w:r>
      <w:r w:rsidR="00E046C1" w:rsidRPr="00AA024C">
        <w:rPr>
          <w:rFonts w:ascii="Times New Roman" w:hAnsi="Times New Roman"/>
          <w:i w:val="0"/>
          <w:sz w:val="24"/>
          <w:szCs w:val="24"/>
          <w:lang w:val="en-GB"/>
        </w:rPr>
        <w:t>-</w:t>
      </w:r>
      <w:r w:rsidR="003C7784" w:rsidRPr="00AA024C">
        <w:rPr>
          <w:rFonts w:ascii="Times New Roman" w:hAnsi="Times New Roman"/>
          <w:i w:val="0"/>
          <w:sz w:val="24"/>
          <w:szCs w:val="24"/>
          <w:lang w:val="en-GB"/>
        </w:rPr>
        <w:t>jrmughkoyughi</w:t>
      </w:r>
      <w:r w:rsidR="006373FD" w:rsidRPr="00AA024C">
        <w:rPr>
          <w:rFonts w:ascii="Times New Roman" w:hAnsi="Times New Roman"/>
          <w:i w:val="0"/>
          <w:sz w:val="24"/>
          <w:szCs w:val="24"/>
          <w:lang w:val="en-GB"/>
        </w:rPr>
        <w:t>” and “Nor Akunq” closed joint-stock companies.</w:t>
      </w:r>
    </w:p>
    <w:p w:rsidR="00BB0DF0" w:rsidRPr="00AA024C" w:rsidRDefault="00BB0DF0" w:rsidP="00AF09B1">
      <w:pPr>
        <w:pStyle w:val="BodyTextIndent"/>
        <w:spacing w:line="240" w:lineRule="auto"/>
        <w:ind w:firstLine="708"/>
        <w:rPr>
          <w:rFonts w:ascii="Times New Roman" w:hAnsi="Times New Roman"/>
          <w:i w:val="0"/>
          <w:sz w:val="24"/>
          <w:szCs w:val="24"/>
          <w:lang w:val="en-GB"/>
        </w:rPr>
      </w:pPr>
    </w:p>
    <w:p w:rsidR="00BB0DF0" w:rsidRPr="00AA024C" w:rsidRDefault="006373FD" w:rsidP="00AF09B1">
      <w:pPr>
        <w:pStyle w:val="HTMLPreformatted"/>
        <w:shd w:val="clear" w:color="auto" w:fill="FFFFFF"/>
        <w:tabs>
          <w:tab w:val="clear" w:pos="916"/>
          <w:tab w:val="left" w:pos="709"/>
        </w:tabs>
        <w:jc w:val="both"/>
        <w:rPr>
          <w:rFonts w:ascii="Times New Roman" w:hAnsi="Times New Roman" w:cs="Times New Roman"/>
          <w:color w:val="212121"/>
          <w:sz w:val="24"/>
          <w:szCs w:val="24"/>
          <w:lang w:val="en-GB"/>
        </w:rPr>
      </w:pPr>
      <w:r w:rsidRPr="00AA024C">
        <w:rPr>
          <w:rFonts w:ascii="Times New Roman" w:hAnsi="Times New Roman"/>
          <w:sz w:val="24"/>
          <w:szCs w:val="24"/>
          <w:lang w:val="en-GB"/>
        </w:rPr>
        <w:t xml:space="preserve"> </w:t>
      </w:r>
      <w:r w:rsidR="00E046C1" w:rsidRPr="00AA024C">
        <w:rPr>
          <w:rFonts w:ascii="Times New Roman" w:hAnsi="Times New Roman"/>
          <w:sz w:val="24"/>
          <w:szCs w:val="24"/>
          <w:lang w:val="en-GB"/>
        </w:rPr>
        <w:tab/>
      </w:r>
      <w:r w:rsidR="00BB0DF0" w:rsidRPr="00AA024C">
        <w:rPr>
          <w:rFonts w:ascii="Times New Roman" w:hAnsi="Times New Roman" w:cs="Times New Roman"/>
          <w:color w:val="212121"/>
          <w:sz w:val="24"/>
          <w:szCs w:val="24"/>
          <w:lang w:val="en-GB"/>
        </w:rPr>
        <w:t xml:space="preserve">During the last decade, the Government of the Republic of Armenia (“GoA”) has restructured the water sector with notable results achieved. Armenia is considered as one of </w:t>
      </w:r>
      <w:r w:rsidR="00E74E3E">
        <w:rPr>
          <w:rFonts w:ascii="Times New Roman" w:hAnsi="Times New Roman" w:cs="Times New Roman"/>
          <w:color w:val="212121"/>
          <w:sz w:val="24"/>
          <w:szCs w:val="24"/>
          <w:lang w:val="en-GB"/>
        </w:rPr>
        <w:t xml:space="preserve">the </w:t>
      </w:r>
      <w:r w:rsidR="00BB0DF0" w:rsidRPr="00AA024C">
        <w:rPr>
          <w:rFonts w:ascii="Times New Roman" w:hAnsi="Times New Roman" w:cs="Times New Roman"/>
          <w:color w:val="212121"/>
          <w:sz w:val="24"/>
          <w:szCs w:val="24"/>
          <w:lang w:val="en-GB"/>
        </w:rPr>
        <w:t>regional leader</w:t>
      </w:r>
      <w:r w:rsidR="00E74E3E">
        <w:rPr>
          <w:rFonts w:ascii="Times New Roman" w:hAnsi="Times New Roman" w:cs="Times New Roman"/>
          <w:color w:val="212121"/>
          <w:sz w:val="24"/>
          <w:szCs w:val="24"/>
          <w:lang w:val="en-GB"/>
        </w:rPr>
        <w:t>s</w:t>
      </w:r>
      <w:r w:rsidR="00BB0DF0" w:rsidRPr="00AA024C">
        <w:rPr>
          <w:rFonts w:ascii="Times New Roman" w:hAnsi="Times New Roman" w:cs="Times New Roman"/>
          <w:color w:val="212121"/>
          <w:sz w:val="24"/>
          <w:szCs w:val="24"/>
          <w:lang w:val="en-GB"/>
        </w:rPr>
        <w:t xml:space="preserve"> in implementing </w:t>
      </w:r>
      <w:r w:rsidR="009F6FF6">
        <w:rPr>
          <w:rFonts w:ascii="Times New Roman" w:hAnsi="Times New Roman" w:cs="Times New Roman"/>
          <w:color w:val="212121"/>
          <w:sz w:val="24"/>
          <w:szCs w:val="24"/>
          <w:lang w:val="en-GB"/>
        </w:rPr>
        <w:t>P</w:t>
      </w:r>
      <w:r w:rsidR="00BB0DF0" w:rsidRPr="00AA024C">
        <w:rPr>
          <w:rFonts w:ascii="Times New Roman" w:hAnsi="Times New Roman" w:cs="Times New Roman"/>
          <w:color w:val="212121"/>
          <w:sz w:val="24"/>
          <w:szCs w:val="24"/>
          <w:lang w:val="en-GB"/>
        </w:rPr>
        <w:t>ublic-</w:t>
      </w:r>
      <w:r w:rsidR="009F6FF6">
        <w:rPr>
          <w:rFonts w:ascii="Times New Roman" w:hAnsi="Times New Roman" w:cs="Times New Roman"/>
          <w:color w:val="212121"/>
          <w:sz w:val="24"/>
          <w:szCs w:val="24"/>
          <w:lang w:val="en-GB"/>
        </w:rPr>
        <w:t>P</w:t>
      </w:r>
      <w:r w:rsidR="00BB0DF0" w:rsidRPr="00AA024C">
        <w:rPr>
          <w:rFonts w:ascii="Times New Roman" w:hAnsi="Times New Roman" w:cs="Times New Roman"/>
          <w:color w:val="212121"/>
          <w:sz w:val="24"/>
          <w:szCs w:val="24"/>
          <w:lang w:val="en-GB"/>
        </w:rPr>
        <w:t xml:space="preserve">rivate </w:t>
      </w:r>
      <w:r w:rsidR="009F6FF6">
        <w:rPr>
          <w:rFonts w:ascii="Times New Roman" w:hAnsi="Times New Roman" w:cs="Times New Roman"/>
          <w:color w:val="212121"/>
          <w:sz w:val="24"/>
          <w:szCs w:val="24"/>
          <w:lang w:val="en-GB"/>
        </w:rPr>
        <w:t>P</w:t>
      </w:r>
      <w:r w:rsidR="00BB0DF0" w:rsidRPr="00AA024C">
        <w:rPr>
          <w:rFonts w:ascii="Times New Roman" w:hAnsi="Times New Roman" w:cs="Times New Roman"/>
          <w:color w:val="212121"/>
          <w:sz w:val="24"/>
          <w:szCs w:val="24"/>
          <w:lang w:val="en-GB"/>
        </w:rPr>
        <w:t xml:space="preserve">artnership (“PPP”) schemes in the water and sewerage sector. Management and lease contracts with private water operators have been concluded along with </w:t>
      </w:r>
      <w:r w:rsidR="00667343">
        <w:rPr>
          <w:rFonts w:ascii="Times New Roman" w:hAnsi="Times New Roman" w:cs="Times New Roman"/>
          <w:color w:val="212121"/>
          <w:sz w:val="24"/>
          <w:szCs w:val="24"/>
          <w:lang w:val="en-GB"/>
        </w:rPr>
        <w:t>significant</w:t>
      </w:r>
      <w:r w:rsidR="00667343" w:rsidRPr="00AA024C">
        <w:rPr>
          <w:rFonts w:ascii="Times New Roman" w:hAnsi="Times New Roman" w:cs="Times New Roman"/>
          <w:color w:val="212121"/>
          <w:sz w:val="24"/>
          <w:szCs w:val="24"/>
          <w:lang w:val="en-GB"/>
        </w:rPr>
        <w:t xml:space="preserve"> </w:t>
      </w:r>
      <w:r w:rsidR="00BB0DF0" w:rsidRPr="00AA024C">
        <w:rPr>
          <w:rFonts w:ascii="Times New Roman" w:hAnsi="Times New Roman" w:cs="Times New Roman"/>
          <w:color w:val="212121"/>
          <w:sz w:val="24"/>
          <w:szCs w:val="24"/>
          <w:lang w:val="en-GB"/>
        </w:rPr>
        <w:t>investments in water infrastructure upgrades. All this resulted in a remarkable improvement in service delivery, the reduction of operation costs and the increase of revenues.</w:t>
      </w:r>
    </w:p>
    <w:p w:rsidR="00BB0DF0" w:rsidRPr="00AA024C" w:rsidRDefault="00BB0DF0" w:rsidP="00AF09B1">
      <w:pPr>
        <w:pStyle w:val="HTMLPreformatted"/>
        <w:shd w:val="clear" w:color="auto" w:fill="FFFFFF"/>
        <w:tabs>
          <w:tab w:val="clear" w:pos="916"/>
          <w:tab w:val="left" w:pos="709"/>
        </w:tabs>
        <w:jc w:val="both"/>
        <w:rPr>
          <w:rFonts w:ascii="Times New Roman" w:hAnsi="Times New Roman" w:cs="Times New Roman"/>
          <w:color w:val="212121"/>
          <w:sz w:val="24"/>
          <w:szCs w:val="24"/>
          <w:lang w:val="en-GB"/>
        </w:rPr>
      </w:pPr>
    </w:p>
    <w:p w:rsidR="00BB0DF0" w:rsidRPr="00AA024C" w:rsidRDefault="00BB0DF0" w:rsidP="00AF09B1">
      <w:pPr>
        <w:pStyle w:val="HTMLPreformatted"/>
        <w:shd w:val="clear" w:color="auto" w:fill="FFFFFF"/>
        <w:tabs>
          <w:tab w:val="clear" w:pos="916"/>
          <w:tab w:val="left" w:pos="709"/>
        </w:tabs>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ab/>
        <w:t>Currently, there are five water companies</w:t>
      </w:r>
      <w:r w:rsidR="00B93B69" w:rsidRPr="00AA024C">
        <w:rPr>
          <w:rFonts w:ascii="Times New Roman" w:hAnsi="Times New Roman" w:cs="Times New Roman"/>
          <w:color w:val="212121"/>
          <w:sz w:val="24"/>
          <w:szCs w:val="24"/>
          <w:lang w:val="en-GB"/>
        </w:rPr>
        <w:t>,</w:t>
      </w:r>
      <w:r w:rsidRPr="00AA024C">
        <w:rPr>
          <w:rFonts w:ascii="Times New Roman" w:hAnsi="Times New Roman" w:cs="Times New Roman"/>
          <w:color w:val="212121"/>
          <w:sz w:val="24"/>
          <w:szCs w:val="24"/>
          <w:lang w:val="en-GB"/>
        </w:rPr>
        <w:t xml:space="preserve"> which are</w:t>
      </w:r>
      <w:r w:rsidR="00C856F6" w:rsidRPr="00AA024C">
        <w:rPr>
          <w:rFonts w:ascii="Times New Roman" w:hAnsi="Times New Roman" w:cs="Times New Roman"/>
          <w:color w:val="212121"/>
          <w:sz w:val="24"/>
          <w:szCs w:val="24"/>
          <w:lang w:val="en-GB"/>
        </w:rPr>
        <w:t xml:space="preserve"> </w:t>
      </w:r>
      <w:r w:rsidRPr="00AA024C">
        <w:rPr>
          <w:rFonts w:ascii="Times New Roman" w:hAnsi="Times New Roman" w:cs="Times New Roman"/>
          <w:color w:val="212121"/>
          <w:sz w:val="24"/>
          <w:szCs w:val="24"/>
          <w:lang w:val="en-GB"/>
        </w:rPr>
        <w:t>managed by three private operators. The Government of Armenia has delegated the management of state water and sewerage infrastructure to the following companies:</w:t>
      </w:r>
    </w:p>
    <w:p w:rsidR="00C856F6" w:rsidRPr="00AA024C" w:rsidRDefault="00C856F6" w:rsidP="00AF09B1">
      <w:pPr>
        <w:pStyle w:val="HTMLPreformatted"/>
        <w:shd w:val="clear" w:color="auto" w:fill="FFFFFF"/>
        <w:tabs>
          <w:tab w:val="clear" w:pos="916"/>
          <w:tab w:val="left" w:pos="709"/>
        </w:tabs>
        <w:jc w:val="both"/>
        <w:rPr>
          <w:rFonts w:ascii="Times New Roman" w:hAnsi="Times New Roman" w:cs="Times New Roman"/>
          <w:color w:val="212121"/>
          <w:sz w:val="24"/>
          <w:szCs w:val="24"/>
          <w:lang w:val="en-GB"/>
        </w:rPr>
      </w:pPr>
    </w:p>
    <w:p w:rsidR="00BB0DF0" w:rsidRPr="00AA024C" w:rsidRDefault="00F529F3" w:rsidP="00AF09B1">
      <w:pPr>
        <w:pStyle w:val="HTMLPreformatted"/>
        <w:numPr>
          <w:ilvl w:val="0"/>
          <w:numId w:val="3"/>
        </w:numPr>
        <w:shd w:val="clear" w:color="auto" w:fill="FFFFFF"/>
        <w:tabs>
          <w:tab w:val="clear" w:pos="916"/>
          <w:tab w:val="left" w:pos="709"/>
        </w:tabs>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“Yerevan Djur”</w:t>
      </w:r>
      <w:r w:rsidR="009F6FF6">
        <w:rPr>
          <w:rFonts w:ascii="Times New Roman" w:hAnsi="Times New Roman" w:cs="Times New Roman"/>
          <w:color w:val="212121"/>
          <w:sz w:val="24"/>
          <w:szCs w:val="24"/>
          <w:lang w:val="en-GB"/>
        </w:rPr>
        <w:t xml:space="preserve"> </w:t>
      </w:r>
      <w:r w:rsidR="00BB0DF0" w:rsidRPr="00AA024C">
        <w:rPr>
          <w:rFonts w:ascii="Times New Roman" w:hAnsi="Times New Roman"/>
          <w:sz w:val="24"/>
          <w:szCs w:val="24"/>
          <w:lang w:val="en-GB"/>
        </w:rPr>
        <w:t>closed joint-stock company</w:t>
      </w:r>
      <w:r w:rsidR="00BB0DF0" w:rsidRPr="00AA024C">
        <w:rPr>
          <w:rFonts w:ascii="Times New Roman" w:hAnsi="Times New Roman" w:cs="Times New Roman"/>
          <w:color w:val="212121"/>
          <w:sz w:val="24"/>
          <w:szCs w:val="24"/>
          <w:lang w:val="en-GB"/>
        </w:rPr>
        <w:t xml:space="preserve"> – serving </w:t>
      </w:r>
      <w:r w:rsidR="00E74E3E">
        <w:rPr>
          <w:rFonts w:ascii="Times New Roman" w:hAnsi="Times New Roman" w:cs="Times New Roman"/>
          <w:color w:val="212121"/>
          <w:sz w:val="24"/>
          <w:szCs w:val="24"/>
          <w:lang w:val="en-GB"/>
        </w:rPr>
        <w:t xml:space="preserve">a population of </w:t>
      </w:r>
      <w:r w:rsidR="00BB0DF0" w:rsidRPr="00AA024C">
        <w:rPr>
          <w:rFonts w:ascii="Times New Roman" w:hAnsi="Times New Roman" w:cs="Times New Roman"/>
          <w:color w:val="212121"/>
          <w:sz w:val="24"/>
          <w:szCs w:val="24"/>
          <w:lang w:val="en-GB"/>
        </w:rPr>
        <w:t>1 million under a Lease Arrangement with Veolia;</w:t>
      </w:r>
    </w:p>
    <w:p w:rsidR="00BB0DF0" w:rsidRPr="00AA024C" w:rsidRDefault="00F529F3" w:rsidP="00AF09B1">
      <w:pPr>
        <w:pStyle w:val="HTMLPreformatted"/>
        <w:numPr>
          <w:ilvl w:val="0"/>
          <w:numId w:val="3"/>
        </w:numPr>
        <w:shd w:val="clear" w:color="auto" w:fill="FFFFFF"/>
        <w:tabs>
          <w:tab w:val="clear" w:pos="916"/>
          <w:tab w:val="left" w:pos="709"/>
        </w:tabs>
        <w:jc w:val="both"/>
        <w:rPr>
          <w:rFonts w:ascii="Times New Roman" w:hAnsi="Times New Roman" w:cs="Times New Roman"/>
          <w:color w:val="212121"/>
          <w:sz w:val="24"/>
          <w:szCs w:val="24"/>
          <w:lang w:val="en-GB"/>
        </w:rPr>
      </w:pPr>
      <w:r w:rsidRPr="00AA024C">
        <w:rPr>
          <w:rFonts w:ascii="Times New Roman" w:hAnsi="Times New Roman"/>
          <w:sz w:val="24"/>
          <w:szCs w:val="24"/>
          <w:lang w:val="en-GB"/>
        </w:rPr>
        <w:t>“Hayjrmughkoyughi”</w:t>
      </w:r>
      <w:r w:rsidR="009F6FF6">
        <w:rPr>
          <w:rFonts w:ascii="Times New Roman" w:hAnsi="Times New Roman"/>
          <w:sz w:val="24"/>
          <w:szCs w:val="24"/>
          <w:lang w:val="en-GB"/>
        </w:rPr>
        <w:t xml:space="preserve"> </w:t>
      </w:r>
      <w:r w:rsidR="00BB0DF0" w:rsidRPr="00AA024C">
        <w:rPr>
          <w:rFonts w:ascii="Times New Roman" w:hAnsi="Times New Roman" w:cs="Times New Roman"/>
          <w:color w:val="212121"/>
          <w:sz w:val="24"/>
          <w:szCs w:val="24"/>
          <w:lang w:val="en-GB"/>
        </w:rPr>
        <w:t xml:space="preserve">closed joint-stock company – serving 0.62 million </w:t>
      </w:r>
      <w:r w:rsidR="00E74E3E">
        <w:rPr>
          <w:rFonts w:ascii="Times New Roman" w:hAnsi="Times New Roman" w:cs="Times New Roman"/>
          <w:color w:val="212121"/>
          <w:sz w:val="24"/>
          <w:szCs w:val="24"/>
          <w:lang w:val="en-GB"/>
        </w:rPr>
        <w:t>consumers</w:t>
      </w:r>
      <w:r w:rsidR="00E74E3E" w:rsidRPr="00AA024C">
        <w:rPr>
          <w:rFonts w:ascii="Times New Roman" w:hAnsi="Times New Roman" w:cs="Times New Roman"/>
          <w:color w:val="212121"/>
          <w:sz w:val="24"/>
          <w:szCs w:val="24"/>
          <w:lang w:val="en-GB"/>
        </w:rPr>
        <w:t xml:space="preserve"> </w:t>
      </w:r>
      <w:r w:rsidR="00BB0DF0" w:rsidRPr="00AA024C">
        <w:rPr>
          <w:rFonts w:ascii="Times New Roman" w:hAnsi="Times New Roman" w:cs="Times New Roman"/>
          <w:color w:val="212121"/>
          <w:sz w:val="24"/>
          <w:szCs w:val="24"/>
          <w:lang w:val="en-GB"/>
        </w:rPr>
        <w:t xml:space="preserve">under a Management Contract with SAUR; </w:t>
      </w:r>
    </w:p>
    <w:p w:rsidR="00BB0DF0" w:rsidRPr="00AA024C" w:rsidRDefault="00F529F3" w:rsidP="00AF09B1">
      <w:pPr>
        <w:pStyle w:val="HTMLPreformatted"/>
        <w:numPr>
          <w:ilvl w:val="0"/>
          <w:numId w:val="3"/>
        </w:numPr>
        <w:shd w:val="clear" w:color="auto" w:fill="FFFFFF"/>
        <w:tabs>
          <w:tab w:val="clear" w:pos="916"/>
          <w:tab w:val="left" w:pos="709"/>
        </w:tabs>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“Lori</w:t>
      </w:r>
      <w:r w:rsidR="00C856F6" w:rsidRPr="00AA024C">
        <w:rPr>
          <w:rFonts w:ascii="Times New Roman" w:hAnsi="Times New Roman" w:cs="Times New Roman"/>
          <w:color w:val="212121"/>
          <w:sz w:val="24"/>
          <w:szCs w:val="24"/>
          <w:lang w:val="en-GB"/>
        </w:rPr>
        <w:t>-</w:t>
      </w:r>
      <w:r w:rsidRPr="00AA024C">
        <w:rPr>
          <w:rFonts w:ascii="Times New Roman" w:hAnsi="Times New Roman" w:cs="Times New Roman"/>
          <w:color w:val="212121"/>
          <w:sz w:val="24"/>
          <w:szCs w:val="24"/>
          <w:lang w:val="en-GB"/>
        </w:rPr>
        <w:t>jrmughkoyughi”, “Shirak</w:t>
      </w:r>
      <w:r w:rsidR="00C856F6" w:rsidRPr="00AA024C">
        <w:rPr>
          <w:rFonts w:ascii="Times New Roman" w:hAnsi="Times New Roman" w:cs="Times New Roman"/>
          <w:color w:val="212121"/>
          <w:sz w:val="24"/>
          <w:szCs w:val="24"/>
          <w:lang w:val="en-GB"/>
        </w:rPr>
        <w:t>-</w:t>
      </w:r>
      <w:r w:rsidRPr="00AA024C">
        <w:rPr>
          <w:rFonts w:ascii="Times New Roman" w:hAnsi="Times New Roman" w:cs="Times New Roman"/>
          <w:color w:val="212121"/>
          <w:sz w:val="24"/>
          <w:szCs w:val="24"/>
          <w:lang w:val="en-GB"/>
        </w:rPr>
        <w:t>jrmughkoyughi” and “Nor Akunq”</w:t>
      </w:r>
      <w:r w:rsidR="00BB0DF0" w:rsidRPr="00AA024C">
        <w:rPr>
          <w:rFonts w:ascii="Times New Roman" w:hAnsi="Times New Roman" w:cs="Times New Roman"/>
          <w:color w:val="212121"/>
          <w:sz w:val="24"/>
          <w:szCs w:val="24"/>
          <w:lang w:val="en-GB"/>
        </w:rPr>
        <w:t xml:space="preserve"> </w:t>
      </w:r>
      <w:r w:rsidR="00BB0DF0" w:rsidRPr="00AA024C">
        <w:rPr>
          <w:rFonts w:ascii="Times New Roman" w:hAnsi="Times New Roman"/>
          <w:sz w:val="24"/>
          <w:szCs w:val="24"/>
          <w:lang w:val="en-GB"/>
        </w:rPr>
        <w:t>closed joint-stock companies</w:t>
      </w:r>
      <w:r w:rsidR="00BB0DF0" w:rsidRPr="00AA024C">
        <w:rPr>
          <w:rFonts w:ascii="Times New Roman" w:hAnsi="Times New Roman" w:cs="Times New Roman"/>
          <w:color w:val="212121"/>
          <w:sz w:val="24"/>
          <w:szCs w:val="24"/>
          <w:lang w:val="en-GB"/>
        </w:rPr>
        <w:t xml:space="preserve"> - serving </w:t>
      </w:r>
      <w:r w:rsidR="00E74E3E">
        <w:rPr>
          <w:rFonts w:ascii="Times New Roman" w:hAnsi="Times New Roman" w:cs="Times New Roman"/>
          <w:color w:val="212121"/>
          <w:sz w:val="24"/>
          <w:szCs w:val="24"/>
          <w:lang w:val="en-GB"/>
        </w:rPr>
        <w:t>320,000</w:t>
      </w:r>
      <w:r w:rsidR="00BB0DF0" w:rsidRPr="00AA024C">
        <w:rPr>
          <w:rFonts w:ascii="Times New Roman" w:hAnsi="Times New Roman" w:cs="Times New Roman"/>
          <w:color w:val="212121"/>
          <w:sz w:val="24"/>
          <w:szCs w:val="24"/>
          <w:lang w:val="en-GB"/>
        </w:rPr>
        <w:t xml:space="preserve"> </w:t>
      </w:r>
      <w:r w:rsidR="00E74E3E">
        <w:rPr>
          <w:rFonts w:ascii="Times New Roman" w:hAnsi="Times New Roman" w:cs="Times New Roman"/>
          <w:color w:val="212121"/>
          <w:sz w:val="24"/>
          <w:szCs w:val="24"/>
          <w:lang w:val="en-GB"/>
        </w:rPr>
        <w:t>residents</w:t>
      </w:r>
      <w:r w:rsidR="00E74E3E" w:rsidRPr="00AA024C">
        <w:rPr>
          <w:rFonts w:ascii="Times New Roman" w:hAnsi="Times New Roman" w:cs="Times New Roman"/>
          <w:color w:val="212121"/>
          <w:sz w:val="24"/>
          <w:szCs w:val="24"/>
          <w:lang w:val="en-GB"/>
        </w:rPr>
        <w:t xml:space="preserve"> </w:t>
      </w:r>
      <w:r w:rsidR="00BB0DF0" w:rsidRPr="00AA024C">
        <w:rPr>
          <w:rFonts w:ascii="Times New Roman" w:hAnsi="Times New Roman" w:cs="Times New Roman"/>
          <w:color w:val="212121"/>
          <w:sz w:val="24"/>
          <w:szCs w:val="24"/>
          <w:lang w:val="en-GB"/>
        </w:rPr>
        <w:t>under a Management Contract with a consortium of companies MVV decon, MVV Energie, AEG Service under SAUR’s leadership (since January 1, 2014).</w:t>
      </w:r>
    </w:p>
    <w:p w:rsidR="00BB0DF0" w:rsidRPr="00AA024C" w:rsidRDefault="00BB0DF0" w:rsidP="00AF09B1">
      <w:pPr>
        <w:pStyle w:val="HTMLPreformatted"/>
        <w:shd w:val="clear" w:color="auto" w:fill="FFFFFF"/>
        <w:tabs>
          <w:tab w:val="clear" w:pos="916"/>
          <w:tab w:val="left" w:pos="709"/>
        </w:tabs>
        <w:jc w:val="both"/>
        <w:rPr>
          <w:rFonts w:ascii="Times New Roman" w:hAnsi="Times New Roman" w:cs="Times New Roman"/>
          <w:color w:val="212121"/>
          <w:sz w:val="24"/>
          <w:szCs w:val="24"/>
          <w:lang w:val="en-GB"/>
        </w:rPr>
      </w:pPr>
    </w:p>
    <w:p w:rsidR="00BB0DF0" w:rsidRPr="00AA024C" w:rsidRDefault="00C856F6" w:rsidP="00AF09B1">
      <w:pPr>
        <w:pStyle w:val="HTMLPreformatted"/>
        <w:shd w:val="clear" w:color="auto" w:fill="FFFFFF"/>
        <w:tabs>
          <w:tab w:val="clear" w:pos="916"/>
          <w:tab w:val="left" w:pos="709"/>
        </w:tabs>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ab/>
      </w:r>
      <w:r w:rsidR="00BB0DF0" w:rsidRPr="00AA024C">
        <w:rPr>
          <w:rFonts w:ascii="Times New Roman" w:hAnsi="Times New Roman" w:cs="Times New Roman"/>
          <w:color w:val="212121"/>
          <w:sz w:val="24"/>
          <w:szCs w:val="24"/>
          <w:lang w:val="en-GB"/>
        </w:rPr>
        <w:t xml:space="preserve">All these Public-Private Partnership contracts expire in </w:t>
      </w:r>
      <w:r w:rsidR="00C87812" w:rsidRPr="00AA024C">
        <w:rPr>
          <w:rFonts w:ascii="Times New Roman" w:hAnsi="Times New Roman" w:cs="Times New Roman"/>
          <w:color w:val="212121"/>
          <w:sz w:val="24"/>
          <w:szCs w:val="24"/>
          <w:lang w:val="en-GB"/>
        </w:rPr>
        <w:t>2016</w:t>
      </w:r>
      <w:r w:rsidR="00BB0DF0" w:rsidRPr="00AA024C">
        <w:rPr>
          <w:rFonts w:ascii="Times New Roman" w:hAnsi="Times New Roman" w:cs="Times New Roman"/>
          <w:color w:val="212121"/>
          <w:sz w:val="24"/>
          <w:szCs w:val="24"/>
          <w:lang w:val="en-GB"/>
        </w:rPr>
        <w:t xml:space="preserve"> and will be subject to a tender, which provides a chance for a "second generation" of reforms to build on the achievements of the initial reform and to expand its scope. The reforms will tackle issues in the fields of water management, legal and regulatory framework, and water tariffs.</w:t>
      </w:r>
    </w:p>
    <w:p w:rsidR="00BB0DF0" w:rsidRPr="00AA024C" w:rsidRDefault="00BB0DF0" w:rsidP="00AF09B1">
      <w:pPr>
        <w:pStyle w:val="HTMLPreformatted"/>
        <w:shd w:val="clear" w:color="auto" w:fill="FFFFFF"/>
        <w:tabs>
          <w:tab w:val="clear" w:pos="916"/>
          <w:tab w:val="left" w:pos="709"/>
        </w:tabs>
        <w:jc w:val="both"/>
        <w:rPr>
          <w:rFonts w:ascii="Times New Roman" w:hAnsi="Times New Roman" w:cs="Times New Roman"/>
          <w:color w:val="212121"/>
          <w:sz w:val="24"/>
          <w:szCs w:val="24"/>
          <w:lang w:val="en-GB"/>
        </w:rPr>
      </w:pPr>
    </w:p>
    <w:p w:rsidR="00BB0DF0" w:rsidRPr="00AA024C" w:rsidRDefault="00C856F6" w:rsidP="00AF09B1">
      <w:pPr>
        <w:pStyle w:val="HTMLPreformatted"/>
        <w:shd w:val="clear" w:color="auto" w:fill="FFFFFF"/>
        <w:tabs>
          <w:tab w:val="clear" w:pos="916"/>
          <w:tab w:val="left" w:pos="709"/>
        </w:tabs>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ab/>
      </w:r>
      <w:r w:rsidR="00BB0DF0" w:rsidRPr="00AA024C">
        <w:rPr>
          <w:rFonts w:ascii="Times New Roman" w:hAnsi="Times New Roman" w:cs="Times New Roman"/>
          <w:color w:val="212121"/>
          <w:sz w:val="24"/>
          <w:szCs w:val="24"/>
          <w:lang w:val="en-GB"/>
        </w:rPr>
        <w:t xml:space="preserve">Currently, several investment projects are being implemented in the Armenian water sector funded by the proceeds of grants and loans provided by the Asian Development Bank, the European Bank for Reconstruction and Development, </w:t>
      </w:r>
      <w:r w:rsidR="00E74E3E">
        <w:rPr>
          <w:rFonts w:ascii="Times New Roman" w:hAnsi="Times New Roman" w:cs="Times New Roman"/>
          <w:color w:val="212121"/>
          <w:sz w:val="24"/>
          <w:szCs w:val="24"/>
          <w:lang w:val="en-GB"/>
        </w:rPr>
        <w:t xml:space="preserve">the </w:t>
      </w:r>
      <w:r w:rsidR="00BB0DF0" w:rsidRPr="00AA024C">
        <w:rPr>
          <w:rFonts w:ascii="Times New Roman" w:hAnsi="Times New Roman" w:cs="Times New Roman"/>
          <w:color w:val="212121"/>
          <w:sz w:val="24"/>
          <w:szCs w:val="24"/>
          <w:lang w:val="en-GB"/>
        </w:rPr>
        <w:t>European Commission, the European Investment Bank, KfW Development Bank and the World Bank. The Government of the</w:t>
      </w:r>
      <w:r w:rsidR="00B93B69" w:rsidRPr="00AA024C">
        <w:rPr>
          <w:rFonts w:ascii="Times New Roman" w:hAnsi="Times New Roman" w:cs="Times New Roman"/>
          <w:color w:val="212121"/>
          <w:sz w:val="24"/>
          <w:szCs w:val="24"/>
          <w:lang w:val="en-GB"/>
        </w:rPr>
        <w:t xml:space="preserve"> Republic of Armenia is intending</w:t>
      </w:r>
      <w:r w:rsidR="00BB0DF0" w:rsidRPr="00AA024C">
        <w:rPr>
          <w:rFonts w:ascii="Times New Roman" w:hAnsi="Times New Roman" w:cs="Times New Roman"/>
          <w:color w:val="212121"/>
          <w:sz w:val="24"/>
          <w:szCs w:val="24"/>
          <w:lang w:val="en-GB"/>
        </w:rPr>
        <w:t xml:space="preserve"> to continue cooperation with international organisations in th</w:t>
      </w:r>
      <w:r w:rsidR="00B93B69" w:rsidRPr="00AA024C">
        <w:rPr>
          <w:rFonts w:ascii="Times New Roman" w:hAnsi="Times New Roman" w:cs="Times New Roman"/>
          <w:color w:val="212121"/>
          <w:sz w:val="24"/>
          <w:szCs w:val="24"/>
          <w:lang w:val="en-GB"/>
        </w:rPr>
        <w:t xml:space="preserve">is sector and is expecting </w:t>
      </w:r>
      <w:r w:rsidR="00B93B69" w:rsidRPr="00AA024C">
        <w:rPr>
          <w:rFonts w:ascii="Times New Roman" w:hAnsi="Times New Roman" w:cs="Times New Roman"/>
          <w:color w:val="212121"/>
          <w:sz w:val="24"/>
          <w:szCs w:val="24"/>
          <w:lang w:val="en-GB"/>
        </w:rPr>
        <w:lastRenderedPageBreak/>
        <w:t xml:space="preserve">that around </w:t>
      </w:r>
      <w:r w:rsidR="00BB0DF0" w:rsidRPr="00AA024C">
        <w:rPr>
          <w:rFonts w:ascii="Times New Roman" w:hAnsi="Times New Roman" w:cs="Times New Roman"/>
          <w:color w:val="212121"/>
          <w:sz w:val="24"/>
          <w:szCs w:val="24"/>
          <w:lang w:val="en-GB"/>
        </w:rPr>
        <w:t xml:space="preserve">USD </w:t>
      </w:r>
      <w:r w:rsidR="00B93B69" w:rsidRPr="00AA024C">
        <w:rPr>
          <w:rFonts w:ascii="Times New Roman" w:hAnsi="Times New Roman" w:cs="Times New Roman"/>
          <w:color w:val="212121"/>
          <w:sz w:val="24"/>
          <w:szCs w:val="24"/>
          <w:lang w:val="en-GB"/>
        </w:rPr>
        <w:t xml:space="preserve">200 </w:t>
      </w:r>
      <w:r w:rsidR="00BB0DF0" w:rsidRPr="00AA024C">
        <w:rPr>
          <w:rFonts w:ascii="Times New Roman" w:hAnsi="Times New Roman" w:cs="Times New Roman"/>
          <w:color w:val="212121"/>
          <w:sz w:val="24"/>
          <w:szCs w:val="24"/>
          <w:lang w:val="en-GB"/>
        </w:rPr>
        <w:t>million will be invested in the water sector during</w:t>
      </w:r>
      <w:r w:rsidR="00432033">
        <w:rPr>
          <w:rFonts w:ascii="Times New Roman" w:hAnsi="Times New Roman" w:cs="Times New Roman"/>
          <w:color w:val="212121"/>
          <w:sz w:val="24"/>
          <w:szCs w:val="24"/>
          <w:lang w:val="en-GB"/>
        </w:rPr>
        <w:t xml:space="preserve"> the</w:t>
      </w:r>
      <w:r w:rsidR="00BB0DF0" w:rsidRPr="00AA024C">
        <w:rPr>
          <w:rFonts w:ascii="Times New Roman" w:hAnsi="Times New Roman" w:cs="Times New Roman"/>
          <w:color w:val="212121"/>
          <w:sz w:val="24"/>
          <w:szCs w:val="24"/>
          <w:lang w:val="en-GB"/>
        </w:rPr>
        <w:t xml:space="preserve"> period from 2016 to 2020.</w:t>
      </w:r>
    </w:p>
    <w:p w:rsidR="00DF6648" w:rsidRPr="00AA024C" w:rsidRDefault="006373FD" w:rsidP="00AF09B1">
      <w:pPr>
        <w:pStyle w:val="BodyTextIndent"/>
        <w:spacing w:line="240" w:lineRule="auto"/>
        <w:ind w:firstLine="708"/>
        <w:rPr>
          <w:rFonts w:ascii="Times New Roman" w:hAnsi="Times New Roman"/>
          <w:i w:val="0"/>
          <w:sz w:val="24"/>
          <w:szCs w:val="24"/>
          <w:lang w:val="en-GB"/>
        </w:rPr>
      </w:pPr>
      <w:r w:rsidRPr="00AA024C">
        <w:rPr>
          <w:rFonts w:ascii="Times New Roman" w:hAnsi="Times New Roman"/>
          <w:i w:val="0"/>
          <w:sz w:val="24"/>
          <w:szCs w:val="24"/>
          <w:lang w:val="en-GB"/>
        </w:rPr>
        <w:t xml:space="preserve"> </w:t>
      </w:r>
    </w:p>
    <w:p w:rsidR="009F4426" w:rsidRPr="00AA024C" w:rsidRDefault="00C856F6" w:rsidP="00AF09B1">
      <w:pPr>
        <w:pStyle w:val="HTMLPreformatted"/>
        <w:shd w:val="clear" w:color="auto" w:fill="FFFFFF"/>
        <w:tabs>
          <w:tab w:val="clear" w:pos="916"/>
          <w:tab w:val="left" w:pos="709"/>
        </w:tabs>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ab/>
      </w:r>
      <w:r w:rsidR="009F4426" w:rsidRPr="00AA024C">
        <w:rPr>
          <w:rFonts w:ascii="Times New Roman" w:hAnsi="Times New Roman" w:cs="Times New Roman"/>
          <w:color w:val="212121"/>
          <w:sz w:val="24"/>
          <w:szCs w:val="24"/>
          <w:lang w:val="en-GB"/>
        </w:rPr>
        <w:t>In the process of</w:t>
      </w:r>
      <w:r w:rsidR="003F45F4" w:rsidRPr="00AA024C">
        <w:rPr>
          <w:rFonts w:ascii="Times New Roman" w:hAnsi="Times New Roman" w:cs="Times New Roman"/>
          <w:color w:val="212121"/>
          <w:sz w:val="24"/>
          <w:szCs w:val="24"/>
          <w:lang w:val="en-GB"/>
        </w:rPr>
        <w:t xml:space="preserve"> </w:t>
      </w:r>
      <w:r w:rsidR="001D5320" w:rsidRPr="00AA024C">
        <w:rPr>
          <w:rFonts w:ascii="Times New Roman" w:hAnsi="Times New Roman" w:cs="Times New Roman"/>
          <w:color w:val="212121"/>
          <w:sz w:val="24"/>
          <w:szCs w:val="24"/>
          <w:lang w:val="en-GB"/>
        </w:rPr>
        <w:t>conducting</w:t>
      </w:r>
      <w:r w:rsidR="003F45F4" w:rsidRPr="00AA024C">
        <w:rPr>
          <w:rFonts w:ascii="Times New Roman" w:hAnsi="Times New Roman" w:cs="Times New Roman"/>
          <w:color w:val="212121"/>
          <w:sz w:val="24"/>
          <w:szCs w:val="24"/>
          <w:lang w:val="en-GB"/>
        </w:rPr>
        <w:t xml:space="preserve"> </w:t>
      </w:r>
      <w:r w:rsidR="009F4426" w:rsidRPr="00AA024C">
        <w:rPr>
          <w:rFonts w:ascii="Times New Roman" w:hAnsi="Times New Roman" w:cs="Times New Roman"/>
          <w:color w:val="212121"/>
          <w:sz w:val="24"/>
          <w:szCs w:val="24"/>
          <w:lang w:val="en-GB"/>
        </w:rPr>
        <w:t>this</w:t>
      </w:r>
      <w:r w:rsidR="00124FD0" w:rsidRPr="00AA024C">
        <w:rPr>
          <w:rFonts w:ascii="Times New Roman" w:hAnsi="Times New Roman" w:cs="Times New Roman"/>
          <w:color w:val="212121"/>
          <w:sz w:val="24"/>
          <w:szCs w:val="24"/>
          <w:lang w:val="en-GB"/>
        </w:rPr>
        <w:t xml:space="preserve"> procurement</w:t>
      </w:r>
      <w:r w:rsidR="009F4426" w:rsidRPr="00AA024C">
        <w:rPr>
          <w:rFonts w:ascii="Times New Roman" w:hAnsi="Times New Roman" w:cs="Times New Roman"/>
          <w:color w:val="212121"/>
          <w:sz w:val="24"/>
          <w:szCs w:val="24"/>
          <w:lang w:val="en-GB"/>
        </w:rPr>
        <w:t xml:space="preserve"> procedure, advisory support to the Government of the Republic of Armenia</w:t>
      </w:r>
      <w:r w:rsidR="00124FD0" w:rsidRPr="00AA024C">
        <w:rPr>
          <w:rFonts w:ascii="Times New Roman" w:hAnsi="Times New Roman" w:cs="Times New Roman"/>
          <w:color w:val="212121"/>
          <w:sz w:val="24"/>
          <w:szCs w:val="24"/>
          <w:lang w:val="en-GB"/>
        </w:rPr>
        <w:t xml:space="preserve"> and to the </w:t>
      </w:r>
      <w:r w:rsidR="00196B02" w:rsidRPr="00AA024C">
        <w:rPr>
          <w:rFonts w:ascii="Times New Roman" w:hAnsi="Times New Roman" w:cs="Times New Roman"/>
          <w:color w:val="212121"/>
          <w:sz w:val="24"/>
          <w:szCs w:val="24"/>
          <w:lang w:val="en-GB"/>
        </w:rPr>
        <w:t>C</w:t>
      </w:r>
      <w:r w:rsidR="00124FD0" w:rsidRPr="00AA024C">
        <w:rPr>
          <w:rFonts w:ascii="Times New Roman" w:hAnsi="Times New Roman" w:cs="Times New Roman"/>
          <w:color w:val="212121"/>
          <w:sz w:val="24"/>
          <w:szCs w:val="24"/>
          <w:lang w:val="en-GB"/>
        </w:rPr>
        <w:t>lient</w:t>
      </w:r>
      <w:r w:rsidR="009F4426" w:rsidRPr="00AA024C">
        <w:rPr>
          <w:rFonts w:ascii="Times New Roman" w:hAnsi="Times New Roman" w:cs="Times New Roman"/>
          <w:color w:val="212121"/>
          <w:sz w:val="24"/>
          <w:szCs w:val="24"/>
          <w:lang w:val="en-GB"/>
        </w:rPr>
        <w:t xml:space="preserve"> is provided by Fichtner </w:t>
      </w:r>
      <w:r w:rsidR="00E74E3E" w:rsidRPr="00AA024C">
        <w:rPr>
          <w:rFonts w:ascii="Times New Roman" w:hAnsi="Times New Roman" w:cs="Times New Roman"/>
          <w:color w:val="212121"/>
          <w:sz w:val="24"/>
          <w:szCs w:val="24"/>
          <w:lang w:val="en-GB"/>
        </w:rPr>
        <w:t>Gm</w:t>
      </w:r>
      <w:r w:rsidR="00E74E3E">
        <w:rPr>
          <w:rFonts w:ascii="Times New Roman" w:hAnsi="Times New Roman" w:cs="Times New Roman"/>
          <w:color w:val="212121"/>
          <w:sz w:val="24"/>
          <w:szCs w:val="24"/>
          <w:lang w:val="en-GB"/>
        </w:rPr>
        <w:t>b</w:t>
      </w:r>
      <w:r w:rsidR="00E74E3E" w:rsidRPr="00AA024C">
        <w:rPr>
          <w:rFonts w:ascii="Times New Roman" w:hAnsi="Times New Roman" w:cs="Times New Roman"/>
          <w:color w:val="212121"/>
          <w:sz w:val="24"/>
          <w:szCs w:val="24"/>
          <w:lang w:val="en-GB"/>
        </w:rPr>
        <w:t xml:space="preserve">H </w:t>
      </w:r>
      <w:r w:rsidR="009F4426" w:rsidRPr="00AA024C">
        <w:rPr>
          <w:rFonts w:ascii="Times New Roman" w:hAnsi="Times New Roman" w:cs="Times New Roman"/>
          <w:color w:val="212121"/>
          <w:sz w:val="24"/>
          <w:szCs w:val="24"/>
          <w:lang w:val="en-GB"/>
        </w:rPr>
        <w:t>&amp; Co. KG (Germany) under the consultancy services “Armenia Water Investment Program – Transaction Adviser” funded by the European Bank for Reconstruction and Development.</w:t>
      </w:r>
    </w:p>
    <w:p w:rsidR="009F4426" w:rsidRPr="00AA024C" w:rsidRDefault="00B167AD" w:rsidP="00AF09B1">
      <w:pPr>
        <w:pStyle w:val="HTMLPreformatted"/>
        <w:shd w:val="clear" w:color="auto" w:fill="FFFFFF"/>
        <w:tabs>
          <w:tab w:val="clear" w:pos="916"/>
          <w:tab w:val="left" w:pos="709"/>
        </w:tabs>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ab/>
      </w:r>
    </w:p>
    <w:p w:rsidR="00BB0DF0" w:rsidRPr="00AA024C" w:rsidRDefault="009F4426" w:rsidP="00AF09B1">
      <w:pPr>
        <w:pStyle w:val="HTMLPreformatted"/>
        <w:shd w:val="clear" w:color="auto" w:fill="FFFFFF"/>
        <w:tabs>
          <w:tab w:val="clear" w:pos="916"/>
          <w:tab w:val="left" w:pos="709"/>
        </w:tabs>
        <w:jc w:val="both"/>
        <w:rPr>
          <w:rFonts w:ascii="Times New Roman" w:hAnsi="Times New Roman" w:cs="Times New Roman"/>
          <w:sz w:val="24"/>
          <w:szCs w:val="24"/>
          <w:lang w:val="en-GB"/>
        </w:rPr>
      </w:pPr>
      <w:r w:rsidRPr="00AA024C">
        <w:rPr>
          <w:rFonts w:ascii="Times New Roman" w:hAnsi="Times New Roman" w:cs="Times New Roman"/>
          <w:color w:val="212121"/>
          <w:sz w:val="24"/>
          <w:szCs w:val="24"/>
          <w:lang w:val="en-GB"/>
        </w:rPr>
        <w:tab/>
      </w:r>
      <w:r w:rsidR="000176D7" w:rsidRPr="00AA024C">
        <w:rPr>
          <w:rFonts w:ascii="Times New Roman" w:hAnsi="Times New Roman" w:cs="Times New Roman"/>
          <w:color w:val="212121"/>
          <w:sz w:val="24"/>
          <w:szCs w:val="24"/>
          <w:lang w:val="en-GB"/>
        </w:rPr>
        <w:t>The</w:t>
      </w:r>
      <w:r w:rsidR="00CB5AEF" w:rsidRPr="00AA024C">
        <w:rPr>
          <w:rFonts w:ascii="Times New Roman" w:hAnsi="Times New Roman" w:cs="Times New Roman"/>
          <w:color w:val="212121"/>
          <w:sz w:val="24"/>
          <w:szCs w:val="24"/>
          <w:lang w:val="en-GB"/>
        </w:rPr>
        <w:t xml:space="preserve"> winner of this procedure will </w:t>
      </w:r>
      <w:r w:rsidR="000176D7" w:rsidRPr="00AA024C">
        <w:rPr>
          <w:rFonts w:ascii="Times New Roman" w:hAnsi="Times New Roman" w:cs="Times New Roman"/>
          <w:color w:val="212121"/>
          <w:sz w:val="24"/>
          <w:szCs w:val="24"/>
          <w:lang w:val="en-GB"/>
        </w:rPr>
        <w:t xml:space="preserve">be </w:t>
      </w:r>
      <w:r w:rsidR="00BB0DF0" w:rsidRPr="00AA024C">
        <w:rPr>
          <w:rFonts w:ascii="Times New Roman" w:hAnsi="Times New Roman" w:cs="Times New Roman"/>
          <w:color w:val="212121"/>
          <w:sz w:val="24"/>
          <w:szCs w:val="24"/>
          <w:lang w:val="en-GB"/>
        </w:rPr>
        <w:t>offered</w:t>
      </w:r>
      <w:r w:rsidR="00A71D2E">
        <w:rPr>
          <w:rFonts w:ascii="Times New Roman" w:hAnsi="Times New Roman" w:cs="Times New Roman"/>
          <w:color w:val="212121"/>
          <w:sz w:val="24"/>
          <w:szCs w:val="24"/>
          <w:lang w:val="en-GB"/>
        </w:rPr>
        <w:t>,</w:t>
      </w:r>
      <w:r w:rsidR="000176D7" w:rsidRPr="00AA024C">
        <w:rPr>
          <w:rFonts w:ascii="Times New Roman" w:hAnsi="Times New Roman" w:cs="Times New Roman"/>
          <w:color w:val="212121"/>
          <w:sz w:val="24"/>
          <w:szCs w:val="24"/>
          <w:lang w:val="en-GB"/>
        </w:rPr>
        <w:t xml:space="preserve"> in accordance with the established procedure</w:t>
      </w:r>
      <w:r w:rsidR="00A71D2E">
        <w:rPr>
          <w:rFonts w:ascii="Times New Roman" w:hAnsi="Times New Roman" w:cs="Times New Roman"/>
          <w:color w:val="212121"/>
          <w:sz w:val="24"/>
          <w:szCs w:val="24"/>
          <w:lang w:val="en-GB"/>
        </w:rPr>
        <w:t>,</w:t>
      </w:r>
      <w:r w:rsidR="000176D7" w:rsidRPr="00AA024C">
        <w:rPr>
          <w:rFonts w:ascii="Times New Roman" w:hAnsi="Times New Roman" w:cs="Times New Roman"/>
          <w:color w:val="212121"/>
          <w:sz w:val="24"/>
          <w:szCs w:val="24"/>
          <w:lang w:val="en-GB"/>
        </w:rPr>
        <w:t xml:space="preserve"> to </w:t>
      </w:r>
      <w:r w:rsidR="00CB5AEF" w:rsidRPr="00AA024C">
        <w:rPr>
          <w:rFonts w:ascii="Times New Roman" w:hAnsi="Times New Roman" w:cs="Times New Roman"/>
          <w:color w:val="212121"/>
          <w:sz w:val="24"/>
          <w:szCs w:val="24"/>
          <w:lang w:val="en-GB"/>
        </w:rPr>
        <w:t xml:space="preserve">sign a lease </w:t>
      </w:r>
      <w:r w:rsidR="00196B02" w:rsidRPr="00AA024C">
        <w:rPr>
          <w:rFonts w:ascii="Times New Roman" w:hAnsi="Times New Roman" w:cs="Times New Roman"/>
          <w:color w:val="212121"/>
          <w:sz w:val="24"/>
          <w:szCs w:val="24"/>
          <w:lang w:val="en-GB"/>
        </w:rPr>
        <w:t xml:space="preserve">contract </w:t>
      </w:r>
      <w:r w:rsidR="00CB5AEF" w:rsidRPr="00AA024C">
        <w:rPr>
          <w:rFonts w:ascii="Times New Roman" w:hAnsi="Times New Roman" w:cs="Times New Roman"/>
          <w:color w:val="212121"/>
          <w:sz w:val="24"/>
          <w:szCs w:val="24"/>
          <w:lang w:val="en-GB"/>
        </w:rPr>
        <w:t>(here</w:t>
      </w:r>
      <w:r w:rsidR="00E74E3E">
        <w:rPr>
          <w:rFonts w:ascii="Times New Roman" w:hAnsi="Times New Roman" w:cs="Times New Roman"/>
          <w:color w:val="212121"/>
          <w:sz w:val="24"/>
          <w:szCs w:val="24"/>
          <w:lang w:val="en-GB"/>
        </w:rPr>
        <w:t>in</w:t>
      </w:r>
      <w:r w:rsidR="00CB5AEF" w:rsidRPr="00AA024C">
        <w:rPr>
          <w:rFonts w:ascii="Times New Roman" w:hAnsi="Times New Roman" w:cs="Times New Roman"/>
          <w:color w:val="212121"/>
          <w:sz w:val="24"/>
          <w:szCs w:val="24"/>
          <w:lang w:val="en-GB"/>
        </w:rPr>
        <w:t xml:space="preserve">after </w:t>
      </w:r>
      <w:r w:rsidR="00196B02" w:rsidRPr="00AA024C">
        <w:rPr>
          <w:rFonts w:ascii="Times New Roman" w:hAnsi="Times New Roman" w:cs="Times New Roman"/>
          <w:color w:val="212121"/>
          <w:sz w:val="24"/>
          <w:szCs w:val="24"/>
          <w:lang w:val="en-GB"/>
        </w:rPr>
        <w:t>referred to as “Contract”</w:t>
      </w:r>
      <w:r w:rsidR="00CB5AEF" w:rsidRPr="00AA024C">
        <w:rPr>
          <w:rFonts w:ascii="Times New Roman" w:hAnsi="Times New Roman" w:cs="Times New Roman"/>
          <w:color w:val="212121"/>
          <w:sz w:val="24"/>
          <w:szCs w:val="24"/>
          <w:lang w:val="en-GB"/>
        </w:rPr>
        <w:t>)</w:t>
      </w:r>
      <w:r w:rsidR="00CB5AEF" w:rsidRPr="00AA024C">
        <w:rPr>
          <w:rFonts w:ascii="Times New Roman" w:hAnsi="Times New Roman" w:cs="Times New Roman"/>
          <w:sz w:val="24"/>
          <w:szCs w:val="24"/>
          <w:lang w:val="en-GB"/>
        </w:rPr>
        <w:t xml:space="preserve"> </w:t>
      </w:r>
      <w:r w:rsidR="000176D7" w:rsidRPr="00AA024C">
        <w:rPr>
          <w:rFonts w:ascii="Times New Roman" w:hAnsi="Times New Roman" w:cs="Times New Roman"/>
          <w:sz w:val="24"/>
          <w:szCs w:val="24"/>
          <w:lang w:val="en-GB"/>
        </w:rPr>
        <w:t>of</w:t>
      </w:r>
      <w:r w:rsidR="00CB5AEF" w:rsidRPr="00AA024C">
        <w:rPr>
          <w:rFonts w:ascii="Times New Roman" w:hAnsi="Times New Roman" w:cs="Times New Roman"/>
          <w:sz w:val="24"/>
          <w:szCs w:val="24"/>
          <w:lang w:val="en-GB"/>
        </w:rPr>
        <w:t xml:space="preserve"> water and wastewater systems and other property </w:t>
      </w:r>
      <w:r w:rsidR="00CB5AEF" w:rsidRPr="00AA024C">
        <w:rPr>
          <w:rFonts w:ascii="Times New Roman" w:hAnsi="Times New Roman" w:cs="Times New Roman"/>
          <w:color w:val="212121"/>
          <w:sz w:val="24"/>
          <w:szCs w:val="24"/>
          <w:lang w:val="en-GB"/>
        </w:rPr>
        <w:t>(here</w:t>
      </w:r>
      <w:r w:rsidR="00E74E3E">
        <w:rPr>
          <w:rFonts w:ascii="Times New Roman" w:hAnsi="Times New Roman" w:cs="Times New Roman"/>
          <w:color w:val="212121"/>
          <w:sz w:val="24"/>
          <w:szCs w:val="24"/>
          <w:lang w:val="en-GB"/>
        </w:rPr>
        <w:t>in</w:t>
      </w:r>
      <w:r w:rsidR="00CB5AEF" w:rsidRPr="00AA024C">
        <w:rPr>
          <w:rFonts w:ascii="Times New Roman" w:hAnsi="Times New Roman" w:cs="Times New Roman"/>
          <w:color w:val="212121"/>
          <w:sz w:val="24"/>
          <w:szCs w:val="24"/>
          <w:lang w:val="en-GB"/>
        </w:rPr>
        <w:t>after</w:t>
      </w:r>
      <w:r w:rsidR="00196B02" w:rsidRPr="00AA024C">
        <w:rPr>
          <w:rFonts w:ascii="Times New Roman" w:hAnsi="Times New Roman" w:cs="Times New Roman"/>
          <w:color w:val="212121"/>
          <w:sz w:val="24"/>
          <w:szCs w:val="24"/>
          <w:lang w:val="en-GB"/>
        </w:rPr>
        <w:t xml:space="preserve"> referred to as</w:t>
      </w:r>
      <w:r w:rsidR="00CB5AEF" w:rsidRPr="00AA024C">
        <w:rPr>
          <w:rFonts w:ascii="Times New Roman" w:hAnsi="Times New Roman" w:cs="Times New Roman"/>
          <w:color w:val="212121"/>
          <w:sz w:val="24"/>
          <w:szCs w:val="24"/>
          <w:lang w:val="en-GB"/>
        </w:rPr>
        <w:t xml:space="preserve"> </w:t>
      </w:r>
      <w:r w:rsidR="00196B02" w:rsidRPr="00AA024C">
        <w:rPr>
          <w:rFonts w:ascii="Times New Roman" w:hAnsi="Times New Roman" w:cs="Times New Roman"/>
          <w:color w:val="212121"/>
          <w:sz w:val="24"/>
          <w:szCs w:val="24"/>
          <w:lang w:val="en-GB"/>
        </w:rPr>
        <w:t>“</w:t>
      </w:r>
      <w:r w:rsidR="00CB5AEF" w:rsidRPr="00AA024C">
        <w:rPr>
          <w:rFonts w:ascii="Times New Roman" w:hAnsi="Times New Roman" w:cs="Times New Roman"/>
          <w:color w:val="212121"/>
          <w:sz w:val="24"/>
          <w:szCs w:val="24"/>
          <w:lang w:val="en-GB"/>
        </w:rPr>
        <w:t>Property</w:t>
      </w:r>
      <w:r w:rsidR="00196B02" w:rsidRPr="00AA024C">
        <w:rPr>
          <w:rFonts w:ascii="Times New Roman" w:hAnsi="Times New Roman" w:cs="Times New Roman"/>
          <w:color w:val="212121"/>
          <w:sz w:val="24"/>
          <w:szCs w:val="24"/>
          <w:lang w:val="en-GB"/>
        </w:rPr>
        <w:t>”</w:t>
      </w:r>
      <w:r w:rsidR="00CB5AEF" w:rsidRPr="00AA024C">
        <w:rPr>
          <w:rFonts w:ascii="Times New Roman" w:hAnsi="Times New Roman" w:cs="Times New Roman"/>
          <w:color w:val="212121"/>
          <w:sz w:val="24"/>
          <w:szCs w:val="24"/>
          <w:lang w:val="en-GB"/>
        </w:rPr>
        <w:t>)</w:t>
      </w:r>
      <w:r w:rsidR="00CB5AEF" w:rsidRPr="00AA024C">
        <w:rPr>
          <w:rFonts w:ascii="Times New Roman" w:hAnsi="Times New Roman" w:cs="Times New Roman"/>
          <w:sz w:val="24"/>
          <w:szCs w:val="24"/>
          <w:lang w:val="en-GB"/>
        </w:rPr>
        <w:t xml:space="preserve"> currently </w:t>
      </w:r>
      <w:r w:rsidR="000176D7" w:rsidRPr="00AA024C">
        <w:rPr>
          <w:rFonts w:ascii="Times New Roman" w:hAnsi="Times New Roman" w:cs="Times New Roman"/>
          <w:sz w:val="24"/>
          <w:szCs w:val="24"/>
          <w:lang w:val="en-GB"/>
        </w:rPr>
        <w:t xml:space="preserve">used and </w:t>
      </w:r>
      <w:r w:rsidR="00196B02" w:rsidRPr="00AA024C">
        <w:rPr>
          <w:rFonts w:ascii="Times New Roman" w:hAnsi="Times New Roman" w:cs="Times New Roman"/>
          <w:sz w:val="24"/>
          <w:szCs w:val="24"/>
          <w:lang w:val="en-GB"/>
        </w:rPr>
        <w:t xml:space="preserve">maintained </w:t>
      </w:r>
      <w:r w:rsidR="00CB5AEF" w:rsidRPr="00AA024C">
        <w:rPr>
          <w:rFonts w:ascii="Times New Roman" w:hAnsi="Times New Roman" w:cs="Times New Roman"/>
          <w:sz w:val="24"/>
          <w:szCs w:val="24"/>
          <w:lang w:val="en-GB"/>
        </w:rPr>
        <w:t>by “Yerevan Djur”, “</w:t>
      </w:r>
      <w:r w:rsidR="00041D90" w:rsidRPr="00AA024C">
        <w:rPr>
          <w:rFonts w:ascii="Times New Roman" w:hAnsi="Times New Roman" w:cs="Times New Roman"/>
          <w:sz w:val="24"/>
          <w:szCs w:val="24"/>
          <w:lang w:val="en-GB"/>
        </w:rPr>
        <w:t>Hayjrmughkoyughi</w:t>
      </w:r>
      <w:r w:rsidR="00CB5AEF" w:rsidRPr="00AA024C">
        <w:rPr>
          <w:rFonts w:ascii="Times New Roman" w:hAnsi="Times New Roman" w:cs="Times New Roman"/>
          <w:sz w:val="24"/>
          <w:szCs w:val="24"/>
          <w:lang w:val="en-GB"/>
        </w:rPr>
        <w:t>”, “Lori</w:t>
      </w:r>
      <w:r w:rsidR="00196B02" w:rsidRPr="00AA024C">
        <w:rPr>
          <w:rFonts w:ascii="Times New Roman" w:hAnsi="Times New Roman" w:cs="Times New Roman"/>
          <w:sz w:val="24"/>
          <w:szCs w:val="24"/>
          <w:lang w:val="en-GB"/>
        </w:rPr>
        <w:t>-</w:t>
      </w:r>
      <w:r w:rsidR="00041D90" w:rsidRPr="00AA024C">
        <w:rPr>
          <w:rFonts w:ascii="Times New Roman" w:hAnsi="Times New Roman" w:cs="Times New Roman"/>
          <w:sz w:val="24"/>
          <w:szCs w:val="24"/>
          <w:lang w:val="en-GB"/>
        </w:rPr>
        <w:t>jrmughkoyughi</w:t>
      </w:r>
      <w:r w:rsidR="00CB5AEF" w:rsidRPr="00AA024C">
        <w:rPr>
          <w:rFonts w:ascii="Times New Roman" w:hAnsi="Times New Roman" w:cs="Times New Roman"/>
          <w:sz w:val="24"/>
          <w:szCs w:val="24"/>
          <w:lang w:val="en-GB"/>
        </w:rPr>
        <w:t>”, “Shirak</w:t>
      </w:r>
      <w:r w:rsidR="00196B02" w:rsidRPr="00AA024C">
        <w:rPr>
          <w:rFonts w:ascii="Times New Roman" w:hAnsi="Times New Roman" w:cs="Times New Roman"/>
          <w:sz w:val="24"/>
          <w:szCs w:val="24"/>
          <w:lang w:val="en-GB"/>
        </w:rPr>
        <w:t>-</w:t>
      </w:r>
      <w:r w:rsidR="00041D90" w:rsidRPr="00AA024C">
        <w:rPr>
          <w:rFonts w:ascii="Times New Roman" w:hAnsi="Times New Roman" w:cs="Times New Roman"/>
          <w:sz w:val="24"/>
          <w:szCs w:val="24"/>
          <w:lang w:val="en-GB"/>
        </w:rPr>
        <w:t>jrmughkoyughi</w:t>
      </w:r>
      <w:r w:rsidR="00CB5AEF" w:rsidRPr="00AA024C">
        <w:rPr>
          <w:rFonts w:ascii="Times New Roman" w:hAnsi="Times New Roman" w:cs="Times New Roman"/>
          <w:sz w:val="24"/>
          <w:szCs w:val="24"/>
          <w:lang w:val="en-GB"/>
        </w:rPr>
        <w:t>” and “Nor Akunq” closed joint-stock companies.</w:t>
      </w:r>
    </w:p>
    <w:p w:rsidR="00196B02" w:rsidRPr="00AA024C" w:rsidRDefault="00196B02" w:rsidP="00AF09B1">
      <w:pPr>
        <w:pStyle w:val="HTMLPreformatted"/>
        <w:shd w:val="clear" w:color="auto" w:fill="FFFFFF"/>
        <w:tabs>
          <w:tab w:val="clear" w:pos="916"/>
          <w:tab w:val="left" w:pos="709"/>
        </w:tabs>
        <w:jc w:val="both"/>
        <w:rPr>
          <w:rFonts w:ascii="Times New Roman" w:hAnsi="Times New Roman" w:cs="Times New Roman"/>
          <w:sz w:val="24"/>
          <w:szCs w:val="24"/>
          <w:lang w:val="en-GB"/>
        </w:rPr>
      </w:pPr>
    </w:p>
    <w:p w:rsidR="00BB0DF0" w:rsidRPr="00AA024C" w:rsidRDefault="00BB0DF0" w:rsidP="00AF09B1">
      <w:pPr>
        <w:ind w:firstLine="708"/>
        <w:jc w:val="both"/>
      </w:pPr>
      <w:r w:rsidRPr="00AA024C">
        <w:t xml:space="preserve">The </w:t>
      </w:r>
      <w:r w:rsidR="00196B02" w:rsidRPr="00AA024C">
        <w:t>C</w:t>
      </w:r>
      <w:r w:rsidRPr="00AA024C">
        <w:t>ontract shall include the services that are necessary to manage, operate and maintain water facilities for a period of 15 years. The anticipated services will relate to both the existing water facilities in the service area and additional water facilities constructed in the service area.</w:t>
      </w:r>
    </w:p>
    <w:p w:rsidR="00CB5AEF" w:rsidRPr="00AA024C" w:rsidRDefault="00CB5AEF" w:rsidP="00AF09B1">
      <w:pPr>
        <w:pStyle w:val="HTMLPreformatted"/>
        <w:shd w:val="clear" w:color="auto" w:fill="FFFFFF"/>
        <w:tabs>
          <w:tab w:val="clear" w:pos="916"/>
          <w:tab w:val="left" w:pos="709"/>
        </w:tabs>
        <w:jc w:val="both"/>
        <w:rPr>
          <w:rFonts w:ascii="Times New Roman" w:hAnsi="Times New Roman" w:cs="Times New Roman"/>
          <w:color w:val="212121"/>
          <w:sz w:val="24"/>
          <w:szCs w:val="24"/>
          <w:lang w:val="en-GB"/>
        </w:rPr>
      </w:pPr>
      <w:r w:rsidRPr="00AA024C">
        <w:rPr>
          <w:rFonts w:ascii="Times New Roman" w:hAnsi="Times New Roman" w:cs="Times New Roman"/>
          <w:i/>
          <w:sz w:val="24"/>
          <w:szCs w:val="24"/>
          <w:lang w:val="en-GB"/>
        </w:rPr>
        <w:t xml:space="preserve"> </w:t>
      </w:r>
      <w:r w:rsidRPr="00AA024C">
        <w:rPr>
          <w:rFonts w:ascii="Times New Roman" w:hAnsi="Times New Roman" w:cs="Times New Roman"/>
          <w:color w:val="212121"/>
          <w:sz w:val="24"/>
          <w:szCs w:val="24"/>
          <w:lang w:val="en-GB"/>
        </w:rPr>
        <w:t xml:space="preserve">  </w:t>
      </w:r>
    </w:p>
    <w:p w:rsidR="00CB5AEF" w:rsidRPr="00AA024C" w:rsidRDefault="00CB5AEF" w:rsidP="00AA4777">
      <w:pPr>
        <w:pStyle w:val="HTMLPreformatted"/>
        <w:numPr>
          <w:ilvl w:val="0"/>
          <w:numId w:val="15"/>
        </w:numPr>
        <w:shd w:val="clear" w:color="auto" w:fill="FFFFFF"/>
        <w:tabs>
          <w:tab w:val="clear" w:pos="916"/>
          <w:tab w:val="left" w:pos="709"/>
        </w:tabs>
        <w:ind w:left="142" w:firstLine="0"/>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Any individual, regardless of the nationality of the individual or organi</w:t>
      </w:r>
      <w:r w:rsidR="00196B02" w:rsidRPr="00AA024C">
        <w:rPr>
          <w:rFonts w:ascii="Times New Roman" w:hAnsi="Times New Roman" w:cs="Times New Roman"/>
          <w:color w:val="212121"/>
          <w:sz w:val="24"/>
          <w:szCs w:val="24"/>
          <w:lang w:val="en-GB"/>
        </w:rPr>
        <w:t>s</w:t>
      </w:r>
      <w:r w:rsidRPr="00AA024C">
        <w:rPr>
          <w:rFonts w:ascii="Times New Roman" w:hAnsi="Times New Roman" w:cs="Times New Roman"/>
          <w:color w:val="212121"/>
          <w:sz w:val="24"/>
          <w:szCs w:val="24"/>
          <w:lang w:val="en-GB"/>
        </w:rPr>
        <w:t xml:space="preserve">ation, including individuals without citizenship has an equal right to participate in the bidding procedure.  </w:t>
      </w:r>
    </w:p>
    <w:p w:rsidR="00196B02" w:rsidRPr="00AA024C" w:rsidRDefault="00196B02" w:rsidP="00AF09B1">
      <w:pPr>
        <w:pStyle w:val="HTMLPreformatted"/>
        <w:shd w:val="clear" w:color="auto" w:fill="FFFFFF"/>
        <w:tabs>
          <w:tab w:val="clear" w:pos="916"/>
          <w:tab w:val="left" w:pos="851"/>
        </w:tabs>
        <w:jc w:val="both"/>
        <w:rPr>
          <w:rFonts w:ascii="Times New Roman" w:hAnsi="Times New Roman" w:cs="Times New Roman"/>
          <w:color w:val="212121"/>
          <w:sz w:val="24"/>
          <w:szCs w:val="24"/>
          <w:lang w:val="en-GB"/>
        </w:rPr>
      </w:pPr>
    </w:p>
    <w:p w:rsidR="00CB5AEF" w:rsidRPr="00AA4777" w:rsidRDefault="00CB5AEF" w:rsidP="00AA4777">
      <w:pPr>
        <w:pStyle w:val="HTMLPreformatted"/>
        <w:numPr>
          <w:ilvl w:val="0"/>
          <w:numId w:val="15"/>
        </w:numPr>
        <w:shd w:val="clear" w:color="auto" w:fill="FFFFFF"/>
        <w:tabs>
          <w:tab w:val="clear" w:pos="916"/>
          <w:tab w:val="left" w:pos="709"/>
        </w:tabs>
        <w:ind w:left="142" w:firstLine="0"/>
        <w:jc w:val="both"/>
        <w:rPr>
          <w:lang w:val="en-US"/>
        </w:rPr>
      </w:pPr>
      <w:r w:rsidRPr="00AA4777">
        <w:rPr>
          <w:rFonts w:ascii="Times New Roman" w:hAnsi="Times New Roman" w:cs="Times New Roman"/>
          <w:sz w:val="24"/>
          <w:szCs w:val="24"/>
          <w:lang w:val="en-US"/>
        </w:rPr>
        <w:t xml:space="preserve">The </w:t>
      </w:r>
      <w:r w:rsidRPr="00AA4777">
        <w:rPr>
          <w:rFonts w:ascii="Times New Roman" w:hAnsi="Times New Roman" w:cs="Times New Roman"/>
          <w:color w:val="212121"/>
          <w:sz w:val="24"/>
          <w:szCs w:val="24"/>
          <w:lang w:val="en-GB"/>
        </w:rPr>
        <w:t>following</w:t>
      </w:r>
      <w:r w:rsidRPr="00AA4777">
        <w:rPr>
          <w:rFonts w:ascii="Times New Roman" w:hAnsi="Times New Roman" w:cs="Times New Roman"/>
          <w:sz w:val="24"/>
          <w:szCs w:val="24"/>
          <w:lang w:val="en-US"/>
        </w:rPr>
        <w:t xml:space="preserve"> individuals/legal entities are not eligible </w:t>
      </w:r>
      <w:r w:rsidR="00B3439A" w:rsidRPr="00AA4777">
        <w:rPr>
          <w:rFonts w:ascii="Times New Roman" w:hAnsi="Times New Roman" w:cs="Times New Roman"/>
          <w:sz w:val="24"/>
          <w:szCs w:val="24"/>
          <w:lang w:val="en-US"/>
        </w:rPr>
        <w:t>to bid under this procurement procedure</w:t>
      </w:r>
      <w:r w:rsidRPr="00AA4777">
        <w:rPr>
          <w:rFonts w:ascii="Times New Roman" w:hAnsi="Times New Roman" w:cs="Times New Roman"/>
          <w:sz w:val="24"/>
          <w:szCs w:val="24"/>
          <w:lang w:val="en-US"/>
        </w:rPr>
        <w:t>:</w:t>
      </w:r>
    </w:p>
    <w:p w:rsidR="00B3439A" w:rsidRPr="00AA024C" w:rsidRDefault="00B3439A" w:rsidP="00AF09B1">
      <w:pPr>
        <w:ind w:firstLine="709"/>
        <w:jc w:val="both"/>
      </w:pPr>
    </w:p>
    <w:p w:rsidR="00CB5AEF" w:rsidRPr="00AA024C" w:rsidRDefault="00CB5AEF" w:rsidP="00AA4777">
      <w:pPr>
        <w:pStyle w:val="HTMLPreformatted"/>
        <w:numPr>
          <w:ilvl w:val="0"/>
          <w:numId w:val="4"/>
        </w:numPr>
        <w:shd w:val="clear" w:color="auto" w:fill="FFFFFF"/>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who have been declared bankrupt by the court</w:t>
      </w:r>
      <w:r w:rsidR="00B3439A" w:rsidRPr="00AA024C">
        <w:rPr>
          <w:rFonts w:ascii="Times New Roman" w:hAnsi="Times New Roman" w:cs="Times New Roman"/>
          <w:color w:val="212121"/>
          <w:sz w:val="24"/>
          <w:szCs w:val="24"/>
          <w:lang w:val="en-GB"/>
        </w:rPr>
        <w:t>;</w:t>
      </w:r>
    </w:p>
    <w:p w:rsidR="00CB5AEF" w:rsidRPr="00AA024C" w:rsidRDefault="00CB5AEF" w:rsidP="00AA4777">
      <w:pPr>
        <w:pStyle w:val="HTMLPreformatted"/>
        <w:numPr>
          <w:ilvl w:val="0"/>
          <w:numId w:val="4"/>
        </w:numPr>
        <w:shd w:val="clear" w:color="auto" w:fill="FFFFFF"/>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who have</w:t>
      </w:r>
      <w:r w:rsidR="001D5320" w:rsidRPr="00AA4777">
        <w:rPr>
          <w:lang w:val="en-GB"/>
        </w:rPr>
        <w:t xml:space="preserve"> </w:t>
      </w:r>
      <w:r w:rsidR="00B3439A" w:rsidRPr="00AA024C">
        <w:rPr>
          <w:rFonts w:ascii="Times New Roman" w:hAnsi="Times New Roman" w:cs="Times New Roman"/>
          <w:color w:val="212121"/>
          <w:sz w:val="24"/>
          <w:szCs w:val="24"/>
          <w:lang w:val="en-GB"/>
        </w:rPr>
        <w:t xml:space="preserve">outstanding </w:t>
      </w:r>
      <w:r w:rsidRPr="00AA024C">
        <w:rPr>
          <w:rFonts w:ascii="Times New Roman" w:hAnsi="Times New Roman" w:cs="Times New Roman"/>
          <w:color w:val="212121"/>
          <w:sz w:val="24"/>
          <w:szCs w:val="24"/>
          <w:lang w:val="en-GB"/>
        </w:rPr>
        <w:t xml:space="preserve">tax and </w:t>
      </w:r>
      <w:r w:rsidR="00B3439A" w:rsidRPr="00AA024C">
        <w:rPr>
          <w:rFonts w:ascii="Times New Roman" w:hAnsi="Times New Roman" w:cs="Times New Roman"/>
          <w:color w:val="212121"/>
          <w:sz w:val="24"/>
          <w:szCs w:val="24"/>
          <w:lang w:val="en-GB"/>
        </w:rPr>
        <w:t xml:space="preserve">mandatory </w:t>
      </w:r>
      <w:r w:rsidRPr="00AA024C">
        <w:rPr>
          <w:rFonts w:ascii="Times New Roman" w:hAnsi="Times New Roman" w:cs="Times New Roman"/>
          <w:color w:val="212121"/>
          <w:sz w:val="24"/>
          <w:szCs w:val="24"/>
          <w:lang w:val="en-GB"/>
        </w:rPr>
        <w:t xml:space="preserve">social security payments </w:t>
      </w:r>
      <w:r w:rsidR="00B3439A" w:rsidRPr="00AA024C">
        <w:rPr>
          <w:rFonts w:ascii="Times New Roman" w:hAnsi="Times New Roman" w:cs="Times New Roman"/>
          <w:color w:val="212121"/>
          <w:sz w:val="24"/>
          <w:szCs w:val="24"/>
          <w:lang w:val="en-GB"/>
        </w:rPr>
        <w:t xml:space="preserve">arrears </w:t>
      </w:r>
      <w:r w:rsidR="001D5320" w:rsidRPr="00AA4777">
        <w:rPr>
          <w:rFonts w:ascii="Times New Roman" w:hAnsi="Times New Roman" w:cs="Times New Roman"/>
          <w:color w:val="212121"/>
          <w:sz w:val="24"/>
          <w:szCs w:val="24"/>
          <w:lang w:val="en-GB"/>
        </w:rPr>
        <w:t>against the Republic of Armenia</w:t>
      </w:r>
      <w:r w:rsidRPr="00AA024C">
        <w:rPr>
          <w:rFonts w:ascii="Times New Roman" w:hAnsi="Times New Roman" w:cs="Times New Roman"/>
          <w:color w:val="212121"/>
          <w:sz w:val="24"/>
          <w:szCs w:val="24"/>
          <w:lang w:val="en-GB"/>
        </w:rPr>
        <w:t>,</w:t>
      </w:r>
    </w:p>
    <w:p w:rsidR="00CB5AEF" w:rsidRPr="00AA024C" w:rsidRDefault="00B3439A" w:rsidP="00AA4777">
      <w:pPr>
        <w:pStyle w:val="HTMLPreformatted"/>
        <w:numPr>
          <w:ilvl w:val="0"/>
          <w:numId w:val="4"/>
        </w:numPr>
        <w:shd w:val="clear" w:color="auto" w:fill="FFFFFF"/>
        <w:jc w:val="both"/>
        <w:rPr>
          <w:rFonts w:ascii="Times New Roman" w:hAnsi="Times New Roman" w:cs="Times New Roman"/>
          <w:color w:val="212121"/>
          <w:sz w:val="24"/>
          <w:szCs w:val="24"/>
          <w:lang w:val="en-GB"/>
        </w:rPr>
      </w:pPr>
      <w:r w:rsidRPr="00AA024C">
        <w:rPr>
          <w:rFonts w:ascii="Times New Roman" w:hAnsi="Times New Roman" w:cs="Times New Roman"/>
          <w:sz w:val="24"/>
          <w:szCs w:val="24"/>
          <w:lang w:val="en-GB"/>
        </w:rPr>
        <w:t>have a representative of the executive body, who during the preceding three year period has been convicted for offenses against economic activities or state service, except cases when such conviction has been lifted or nullified as stipulated by law;</w:t>
      </w:r>
    </w:p>
    <w:p w:rsidR="00B3439A" w:rsidRPr="009C51C9" w:rsidRDefault="00B3439A" w:rsidP="00ED763B">
      <w:pPr>
        <w:pStyle w:val="HTMLPreformatted"/>
        <w:numPr>
          <w:ilvl w:val="0"/>
          <w:numId w:val="4"/>
        </w:numPr>
        <w:shd w:val="clear" w:color="auto" w:fill="FFFFFF"/>
        <w:jc w:val="both"/>
        <w:rPr>
          <w:rFonts w:ascii="Times New Roman" w:hAnsi="Times New Roman" w:cs="Times New Roman"/>
          <w:color w:val="212121"/>
          <w:sz w:val="24"/>
          <w:szCs w:val="24"/>
          <w:lang w:val="en-GB"/>
        </w:rPr>
      </w:pPr>
      <w:r w:rsidRPr="00ED763B">
        <w:rPr>
          <w:lang w:val="en-US"/>
        </w:rPr>
        <w:t xml:space="preserve">who are included in the list of </w:t>
      </w:r>
      <w:r w:rsidR="0014086A" w:rsidRPr="00ED763B">
        <w:rPr>
          <w:lang w:val="en-US"/>
        </w:rPr>
        <w:t>entities</w:t>
      </w:r>
      <w:r w:rsidRPr="00ED763B">
        <w:rPr>
          <w:rFonts w:ascii="Times New Roman" w:hAnsi="Times New Roman" w:cs="Times New Roman"/>
          <w:sz w:val="24"/>
          <w:szCs w:val="24"/>
          <w:lang w:val="en-US"/>
        </w:rPr>
        <w:t xml:space="preserve"> ineligible to participate in procurement procedure</w:t>
      </w:r>
      <w:r w:rsidR="00A71D2E" w:rsidRPr="00ED763B">
        <w:rPr>
          <w:rFonts w:ascii="Times New Roman" w:hAnsi="Times New Roman" w:cs="Times New Roman"/>
          <w:sz w:val="24"/>
          <w:szCs w:val="24"/>
          <w:lang w:val="en-US"/>
        </w:rPr>
        <w:t>s</w:t>
      </w:r>
      <w:r w:rsidR="00CB5AEF" w:rsidRPr="00ED763B">
        <w:rPr>
          <w:rFonts w:ascii="Times New Roman" w:hAnsi="Times New Roman" w:cs="Times New Roman"/>
          <w:color w:val="212121"/>
          <w:sz w:val="24"/>
          <w:szCs w:val="24"/>
          <w:lang w:val="en-US"/>
        </w:rPr>
        <w:t>.</w:t>
      </w:r>
    </w:p>
    <w:p w:rsidR="006204F6" w:rsidRDefault="006204F6" w:rsidP="00AF09B1">
      <w:pPr>
        <w:pStyle w:val="BodyTextIndent"/>
        <w:spacing w:line="240" w:lineRule="auto"/>
        <w:ind w:firstLine="708"/>
        <w:rPr>
          <w:rFonts w:ascii="Times New Roman" w:hAnsi="Times New Roman"/>
          <w:i w:val="0"/>
          <w:color w:val="212121"/>
          <w:sz w:val="24"/>
          <w:szCs w:val="24"/>
          <w:lang w:val="en-GB"/>
        </w:rPr>
      </w:pPr>
    </w:p>
    <w:p w:rsidR="006204F6" w:rsidRPr="00AA024C" w:rsidRDefault="006204F6" w:rsidP="00AA4777">
      <w:pPr>
        <w:pStyle w:val="HTMLPreformatted"/>
        <w:numPr>
          <w:ilvl w:val="0"/>
          <w:numId w:val="15"/>
        </w:numPr>
        <w:shd w:val="clear" w:color="auto" w:fill="FFFFFF"/>
        <w:tabs>
          <w:tab w:val="clear" w:pos="916"/>
          <w:tab w:val="left" w:pos="709"/>
        </w:tabs>
        <w:ind w:left="142" w:firstLine="0"/>
        <w:jc w:val="both"/>
        <w:rPr>
          <w:rFonts w:ascii="Times New Roman" w:hAnsi="Times New Roman"/>
          <w:color w:val="212121"/>
          <w:sz w:val="24"/>
          <w:szCs w:val="24"/>
          <w:lang w:val="en-GB"/>
        </w:rPr>
      </w:pPr>
      <w:r w:rsidRPr="00AA024C">
        <w:rPr>
          <w:rFonts w:ascii="Times New Roman" w:hAnsi="Times New Roman" w:cs="Times New Roman"/>
          <w:iCs/>
          <w:sz w:val="24"/>
          <w:szCs w:val="24"/>
          <w:lang w:val="en-GB"/>
        </w:rPr>
        <w:t xml:space="preserve">The pre-qualification application </w:t>
      </w:r>
      <w:r w:rsidR="00667343">
        <w:rPr>
          <w:rFonts w:ascii="Times New Roman" w:hAnsi="Times New Roman" w:cs="Times New Roman"/>
          <w:iCs/>
          <w:sz w:val="24"/>
          <w:szCs w:val="24"/>
          <w:lang w:val="en-GB"/>
        </w:rPr>
        <w:t>is to include</w:t>
      </w:r>
      <w:r w:rsidR="00667343" w:rsidRPr="00AA024C">
        <w:rPr>
          <w:rFonts w:ascii="Times New Roman" w:hAnsi="Times New Roman" w:cs="Times New Roman"/>
          <w:iCs/>
          <w:sz w:val="24"/>
          <w:szCs w:val="24"/>
          <w:lang w:val="en-GB"/>
        </w:rPr>
        <w:t xml:space="preserve"> </w:t>
      </w:r>
      <w:r w:rsidRPr="00AA024C">
        <w:rPr>
          <w:rFonts w:ascii="Times New Roman" w:hAnsi="Times New Roman" w:cs="Times New Roman"/>
          <w:iCs/>
          <w:sz w:val="24"/>
          <w:szCs w:val="24"/>
          <w:lang w:val="en-GB"/>
        </w:rPr>
        <w:t xml:space="preserve">a written application form, </w:t>
      </w:r>
      <w:r w:rsidR="00667343">
        <w:rPr>
          <w:rFonts w:ascii="Times New Roman" w:hAnsi="Times New Roman" w:cs="Times New Roman"/>
          <w:iCs/>
          <w:sz w:val="24"/>
          <w:szCs w:val="24"/>
          <w:lang w:val="en-GB"/>
        </w:rPr>
        <w:t>signed</w:t>
      </w:r>
      <w:r w:rsidR="00667343" w:rsidRPr="00AA024C">
        <w:rPr>
          <w:rFonts w:ascii="Times New Roman" w:hAnsi="Times New Roman" w:cs="Times New Roman"/>
          <w:iCs/>
          <w:sz w:val="24"/>
          <w:szCs w:val="24"/>
          <w:lang w:val="en-GB"/>
        </w:rPr>
        <w:t xml:space="preserve"> </w:t>
      </w:r>
      <w:r w:rsidRPr="00AA024C">
        <w:rPr>
          <w:rFonts w:ascii="Times New Roman" w:hAnsi="Times New Roman" w:cs="Times New Roman"/>
          <w:iCs/>
          <w:sz w:val="24"/>
          <w:szCs w:val="24"/>
          <w:lang w:val="en-GB"/>
        </w:rPr>
        <w:t xml:space="preserve">by the bidder for participating in the pre-qualification procedure, the </w:t>
      </w:r>
      <w:r w:rsidRPr="00AA024C">
        <w:rPr>
          <w:rFonts w:ascii="Times New Roman" w:hAnsi="Times New Roman" w:cs="Times New Roman"/>
          <w:color w:val="212121"/>
          <w:sz w:val="24"/>
          <w:szCs w:val="24"/>
          <w:lang w:val="en-GB"/>
        </w:rPr>
        <w:t xml:space="preserve">proposed form of which and the imposed </w:t>
      </w:r>
      <w:r w:rsidRPr="006204F6">
        <w:rPr>
          <w:rFonts w:ascii="Times New Roman" w:hAnsi="Times New Roman"/>
          <w:color w:val="212121"/>
          <w:sz w:val="24"/>
          <w:szCs w:val="24"/>
          <w:lang w:val="en-GB"/>
        </w:rPr>
        <w:t>requirements</w:t>
      </w:r>
      <w:r w:rsidRPr="00AA024C">
        <w:rPr>
          <w:rFonts w:ascii="Times New Roman" w:hAnsi="Times New Roman" w:cs="Times New Roman"/>
          <w:color w:val="212121"/>
          <w:sz w:val="24"/>
          <w:szCs w:val="24"/>
          <w:lang w:val="en-GB"/>
        </w:rPr>
        <w:t xml:space="preserve"> are specified in Annex N 1; a written declaration</w:t>
      </w:r>
      <w:r w:rsidRPr="00AA024C">
        <w:rPr>
          <w:rFonts w:ascii="Times New Roman" w:hAnsi="Times New Roman" w:cs="Times New Roman"/>
          <w:iCs/>
          <w:sz w:val="24"/>
          <w:szCs w:val="24"/>
          <w:lang w:val="en-GB"/>
        </w:rPr>
        <w:t xml:space="preserve">, </w:t>
      </w:r>
      <w:r w:rsidR="00667343">
        <w:rPr>
          <w:rFonts w:ascii="Times New Roman" w:hAnsi="Times New Roman" w:cs="Times New Roman"/>
          <w:iCs/>
          <w:sz w:val="24"/>
          <w:szCs w:val="24"/>
          <w:lang w:val="en-GB"/>
        </w:rPr>
        <w:t>signed</w:t>
      </w:r>
      <w:r w:rsidR="00667343" w:rsidRPr="00AA024C">
        <w:rPr>
          <w:rFonts w:ascii="Times New Roman" w:hAnsi="Times New Roman" w:cs="Times New Roman"/>
          <w:iCs/>
          <w:sz w:val="24"/>
          <w:szCs w:val="24"/>
          <w:lang w:val="en-GB"/>
        </w:rPr>
        <w:t xml:space="preserve"> </w:t>
      </w:r>
      <w:r w:rsidRPr="00AA024C">
        <w:rPr>
          <w:rFonts w:ascii="Times New Roman" w:hAnsi="Times New Roman" w:cs="Times New Roman"/>
          <w:iCs/>
          <w:sz w:val="24"/>
          <w:szCs w:val="24"/>
          <w:lang w:val="en-GB"/>
        </w:rPr>
        <w:t>by the bidder (Annex N 2)</w:t>
      </w:r>
      <w:r w:rsidRPr="00AA024C">
        <w:rPr>
          <w:rFonts w:ascii="Times New Roman" w:hAnsi="Times New Roman" w:cs="Times New Roman"/>
          <w:color w:val="212121"/>
          <w:sz w:val="24"/>
          <w:szCs w:val="24"/>
          <w:lang w:val="en-GB"/>
        </w:rPr>
        <w:t xml:space="preserve"> </w:t>
      </w:r>
      <w:r w:rsidR="00E74E3E">
        <w:rPr>
          <w:rFonts w:ascii="Times New Roman" w:hAnsi="Times New Roman" w:cs="Times New Roman"/>
          <w:color w:val="212121"/>
          <w:sz w:val="24"/>
          <w:szCs w:val="24"/>
          <w:lang w:val="en-GB"/>
        </w:rPr>
        <w:t>with</w:t>
      </w:r>
      <w:r w:rsidR="00E74E3E" w:rsidRPr="00AA024C">
        <w:rPr>
          <w:rFonts w:ascii="Times New Roman" w:hAnsi="Times New Roman" w:cs="Times New Roman"/>
          <w:color w:val="212121"/>
          <w:sz w:val="24"/>
          <w:szCs w:val="24"/>
          <w:lang w:val="en-GB"/>
        </w:rPr>
        <w:t xml:space="preserve"> </w:t>
      </w:r>
      <w:r w:rsidRPr="00AA024C">
        <w:rPr>
          <w:rFonts w:ascii="Times New Roman" w:hAnsi="Times New Roman" w:cs="Times New Roman"/>
          <w:color w:val="212121"/>
          <w:sz w:val="24"/>
          <w:szCs w:val="24"/>
          <w:lang w:val="en-GB"/>
        </w:rPr>
        <w:t xml:space="preserve">regard </w:t>
      </w:r>
      <w:r w:rsidR="00E74E3E">
        <w:rPr>
          <w:rFonts w:ascii="Times New Roman" w:hAnsi="Times New Roman" w:cs="Times New Roman"/>
          <w:color w:val="212121"/>
          <w:sz w:val="24"/>
          <w:szCs w:val="24"/>
          <w:lang w:val="en-GB"/>
        </w:rPr>
        <w:t>to</w:t>
      </w:r>
      <w:r w:rsidR="00E74E3E" w:rsidRPr="00AA024C">
        <w:rPr>
          <w:rFonts w:ascii="Times New Roman" w:hAnsi="Times New Roman" w:cs="Times New Roman"/>
          <w:color w:val="212121"/>
          <w:sz w:val="24"/>
          <w:szCs w:val="24"/>
          <w:lang w:val="en-GB"/>
        </w:rPr>
        <w:t xml:space="preserve"> </w:t>
      </w:r>
      <w:r w:rsidRPr="00AA024C">
        <w:rPr>
          <w:rFonts w:ascii="Times New Roman" w:hAnsi="Times New Roman" w:cs="Times New Roman"/>
          <w:color w:val="212121"/>
          <w:sz w:val="24"/>
          <w:szCs w:val="24"/>
          <w:lang w:val="en-GB"/>
        </w:rPr>
        <w:t xml:space="preserve">the compliance </w:t>
      </w:r>
      <w:r w:rsidR="00E74E3E">
        <w:rPr>
          <w:rFonts w:ascii="Times New Roman" w:hAnsi="Times New Roman" w:cs="Times New Roman"/>
          <w:color w:val="212121"/>
          <w:sz w:val="24"/>
          <w:szCs w:val="24"/>
          <w:lang w:val="en-GB"/>
        </w:rPr>
        <w:t>with</w:t>
      </w:r>
      <w:r w:rsidR="00E74E3E" w:rsidRPr="00AA024C">
        <w:rPr>
          <w:rFonts w:ascii="Times New Roman" w:hAnsi="Times New Roman" w:cs="Times New Roman"/>
          <w:color w:val="212121"/>
          <w:sz w:val="24"/>
          <w:szCs w:val="24"/>
          <w:lang w:val="en-GB"/>
        </w:rPr>
        <w:t xml:space="preserve"> </w:t>
      </w:r>
      <w:r w:rsidRPr="00AA024C">
        <w:rPr>
          <w:rFonts w:ascii="Times New Roman" w:hAnsi="Times New Roman" w:cs="Times New Roman"/>
          <w:color w:val="212121"/>
          <w:sz w:val="24"/>
          <w:szCs w:val="24"/>
          <w:lang w:val="en-GB"/>
        </w:rPr>
        <w:t>the eligibility</w:t>
      </w:r>
      <w:r w:rsidR="002D7695">
        <w:rPr>
          <w:rFonts w:ascii="Times New Roman" w:hAnsi="Times New Roman" w:cs="Times New Roman"/>
          <w:color w:val="212121"/>
          <w:sz w:val="24"/>
          <w:szCs w:val="24"/>
          <w:lang w:val="en-GB"/>
        </w:rPr>
        <w:t xml:space="preserve"> criteria to participate in this procurement procedure</w:t>
      </w:r>
      <w:r w:rsidRPr="00AA024C">
        <w:rPr>
          <w:rFonts w:ascii="Times New Roman" w:hAnsi="Times New Roman" w:cs="Times New Roman"/>
          <w:color w:val="212121"/>
          <w:sz w:val="24"/>
          <w:szCs w:val="24"/>
          <w:lang w:val="en-GB"/>
        </w:rPr>
        <w:t xml:space="preserve"> and qualification requirements (Annexes N 2.1 and N 2.2</w:t>
      </w:r>
      <w:r w:rsidR="00697C5E">
        <w:rPr>
          <w:rFonts w:ascii="Times New Roman" w:hAnsi="Times New Roman" w:cs="Times New Roman"/>
          <w:color w:val="212121"/>
          <w:sz w:val="24"/>
          <w:szCs w:val="24"/>
          <w:lang w:val="en-GB"/>
        </w:rPr>
        <w:t>; including</w:t>
      </w:r>
      <w:r w:rsidRPr="00AA024C">
        <w:rPr>
          <w:rFonts w:ascii="Times New Roman" w:hAnsi="Times New Roman" w:cs="Times New Roman"/>
          <w:color w:val="212121"/>
          <w:sz w:val="24"/>
          <w:szCs w:val="24"/>
          <w:lang w:val="en-GB"/>
        </w:rPr>
        <w:t xml:space="preserve"> </w:t>
      </w:r>
      <w:r w:rsidR="00697C5E" w:rsidRPr="00AA024C">
        <w:rPr>
          <w:rFonts w:ascii="Times New Roman" w:hAnsi="Times New Roman" w:cs="Times New Roman"/>
          <w:color w:val="212121"/>
          <w:sz w:val="24"/>
          <w:szCs w:val="24"/>
          <w:lang w:val="en-GB"/>
        </w:rPr>
        <w:t xml:space="preserve">all the </w:t>
      </w:r>
      <w:r w:rsidR="00697C5E">
        <w:rPr>
          <w:rFonts w:ascii="Times New Roman" w:hAnsi="Times New Roman" w:cs="Times New Roman"/>
          <w:color w:val="212121"/>
          <w:sz w:val="24"/>
          <w:szCs w:val="24"/>
          <w:lang w:val="en-GB"/>
        </w:rPr>
        <w:t xml:space="preserve">necessary </w:t>
      </w:r>
      <w:r w:rsidR="00697C5E" w:rsidRPr="00AA024C">
        <w:rPr>
          <w:rFonts w:ascii="Times New Roman" w:hAnsi="Times New Roman" w:cs="Times New Roman"/>
          <w:color w:val="212121"/>
          <w:sz w:val="24"/>
          <w:szCs w:val="24"/>
          <w:lang w:val="en-GB"/>
        </w:rPr>
        <w:t>information required by the announcement herewith</w:t>
      </w:r>
      <w:r w:rsidR="00697C5E" w:rsidRPr="00AA024C" w:rsidDel="00697C5E">
        <w:rPr>
          <w:rFonts w:ascii="Times New Roman" w:hAnsi="Times New Roman" w:cs="Times New Roman"/>
          <w:color w:val="212121"/>
          <w:sz w:val="24"/>
          <w:szCs w:val="24"/>
          <w:lang w:val="en-GB"/>
        </w:rPr>
        <w:t xml:space="preserve"> </w:t>
      </w:r>
      <w:r w:rsidR="00697C5E">
        <w:rPr>
          <w:rFonts w:ascii="Times New Roman" w:hAnsi="Times New Roman" w:cs="Times New Roman"/>
          <w:color w:val="212121"/>
          <w:sz w:val="24"/>
          <w:szCs w:val="24"/>
          <w:lang w:val="en-GB"/>
        </w:rPr>
        <w:t xml:space="preserve">as </w:t>
      </w:r>
      <w:r w:rsidR="00697C5E" w:rsidRPr="00AA024C">
        <w:rPr>
          <w:rFonts w:ascii="Times New Roman" w:hAnsi="Times New Roman" w:cs="Times New Roman"/>
          <w:color w:val="212121"/>
          <w:sz w:val="24"/>
          <w:szCs w:val="24"/>
          <w:lang w:val="en-GB"/>
        </w:rPr>
        <w:t>attach</w:t>
      </w:r>
      <w:r w:rsidR="00697C5E">
        <w:rPr>
          <w:rFonts w:ascii="Times New Roman" w:hAnsi="Times New Roman" w:cs="Times New Roman"/>
          <w:color w:val="212121"/>
          <w:sz w:val="24"/>
          <w:szCs w:val="24"/>
          <w:lang w:val="en-GB"/>
        </w:rPr>
        <w:t xml:space="preserve">ments </w:t>
      </w:r>
      <w:r w:rsidRPr="00AA024C">
        <w:rPr>
          <w:rFonts w:ascii="Times New Roman" w:hAnsi="Times New Roman" w:cs="Times New Roman"/>
          <w:color w:val="212121"/>
          <w:sz w:val="24"/>
          <w:szCs w:val="24"/>
          <w:lang w:val="en-GB"/>
        </w:rPr>
        <w:t>to the Annex N 2.2</w:t>
      </w:r>
      <w:r w:rsidR="00E74E3E">
        <w:rPr>
          <w:rFonts w:ascii="Times New Roman" w:hAnsi="Times New Roman" w:cs="Times New Roman"/>
          <w:color w:val="212121"/>
          <w:sz w:val="24"/>
          <w:szCs w:val="24"/>
          <w:lang w:val="en-GB"/>
        </w:rPr>
        <w:t>)</w:t>
      </w:r>
      <w:r w:rsidRPr="00AA024C">
        <w:rPr>
          <w:rFonts w:ascii="Times New Roman" w:hAnsi="Times New Roman" w:cs="Times New Roman"/>
          <w:color w:val="212121"/>
          <w:sz w:val="24"/>
          <w:szCs w:val="24"/>
          <w:lang w:val="en-GB"/>
        </w:rPr>
        <w:t>; a joint venture agreement, in case the</w:t>
      </w:r>
      <w:r w:rsidRPr="00AA024C">
        <w:rPr>
          <w:rFonts w:ascii="Times New Roman" w:hAnsi="Times New Roman" w:cs="Times New Roman"/>
          <w:sz w:val="24"/>
          <w:szCs w:val="24"/>
          <w:lang w:val="en-GB"/>
        </w:rPr>
        <w:t xml:space="preserve"> bidders </w:t>
      </w:r>
      <w:r w:rsidRPr="00AA024C">
        <w:rPr>
          <w:rFonts w:ascii="Times New Roman" w:hAnsi="Times New Roman" w:cs="Times New Roman"/>
          <w:color w:val="212121"/>
          <w:sz w:val="24"/>
          <w:szCs w:val="24"/>
          <w:lang w:val="en-GB"/>
        </w:rPr>
        <w:t>participate in the pre-qualification procedure in a consortium</w:t>
      </w:r>
      <w:r w:rsidR="00E74E3E">
        <w:rPr>
          <w:rFonts w:ascii="Times New Roman" w:hAnsi="Times New Roman" w:cs="Times New Roman"/>
          <w:color w:val="212121"/>
          <w:sz w:val="24"/>
          <w:szCs w:val="24"/>
          <w:lang w:val="en-GB"/>
        </w:rPr>
        <w:t>;</w:t>
      </w:r>
      <w:r w:rsidR="00E74E3E" w:rsidRPr="00AA024C">
        <w:rPr>
          <w:rFonts w:ascii="Times New Roman" w:hAnsi="Times New Roman" w:cs="Times New Roman"/>
          <w:color w:val="212121"/>
          <w:sz w:val="24"/>
          <w:szCs w:val="24"/>
          <w:lang w:val="en-GB"/>
        </w:rPr>
        <w:t xml:space="preserve"> </w:t>
      </w:r>
      <w:r w:rsidR="00E74E3E">
        <w:rPr>
          <w:rFonts w:ascii="Times New Roman" w:hAnsi="Times New Roman" w:cs="Times New Roman"/>
          <w:color w:val="212121"/>
          <w:sz w:val="24"/>
          <w:szCs w:val="24"/>
          <w:lang w:val="en-GB"/>
        </w:rPr>
        <w:t xml:space="preserve">and </w:t>
      </w:r>
      <w:r w:rsidRPr="00AA024C">
        <w:rPr>
          <w:rFonts w:ascii="Times New Roman" w:hAnsi="Times New Roman" w:cs="Times New Roman"/>
          <w:color w:val="212121"/>
          <w:sz w:val="24"/>
          <w:szCs w:val="24"/>
          <w:lang w:val="en-GB"/>
        </w:rPr>
        <w:t>the e-mail address of the bidder.</w:t>
      </w:r>
    </w:p>
    <w:p w:rsidR="00B3439A" w:rsidRPr="00AA024C" w:rsidRDefault="00B3439A" w:rsidP="00AF09B1">
      <w:pPr>
        <w:pStyle w:val="BodyTextIndent"/>
        <w:spacing w:line="240" w:lineRule="auto"/>
        <w:ind w:firstLine="708"/>
        <w:rPr>
          <w:rFonts w:ascii="Times New Roman" w:hAnsi="Times New Roman"/>
          <w:i w:val="0"/>
          <w:color w:val="212121"/>
          <w:sz w:val="24"/>
          <w:szCs w:val="24"/>
          <w:lang w:val="en-GB"/>
        </w:rPr>
      </w:pPr>
    </w:p>
    <w:p w:rsidR="00F76A9D" w:rsidRPr="00AA024C" w:rsidRDefault="005D1946" w:rsidP="00AA4777">
      <w:pPr>
        <w:pStyle w:val="HTMLPreformatted"/>
        <w:numPr>
          <w:ilvl w:val="0"/>
          <w:numId w:val="15"/>
        </w:numPr>
        <w:shd w:val="clear" w:color="auto" w:fill="FFFFFF"/>
        <w:tabs>
          <w:tab w:val="clear" w:pos="916"/>
          <w:tab w:val="left" w:pos="709"/>
        </w:tabs>
        <w:ind w:left="142" w:firstLine="0"/>
        <w:jc w:val="both"/>
        <w:rPr>
          <w:rFonts w:ascii="Times New Roman" w:hAnsi="Times New Roman"/>
          <w:color w:val="212121"/>
          <w:sz w:val="24"/>
          <w:szCs w:val="24"/>
          <w:lang w:val="en-GB"/>
        </w:rPr>
      </w:pPr>
      <w:r w:rsidRPr="00AA024C">
        <w:rPr>
          <w:rFonts w:ascii="Times New Roman" w:hAnsi="Times New Roman"/>
          <w:sz w:val="24"/>
          <w:szCs w:val="24"/>
          <w:lang w:val="en-GB"/>
        </w:rPr>
        <w:t xml:space="preserve"> </w:t>
      </w:r>
      <w:r w:rsidR="00CD26D4" w:rsidRPr="00AA024C">
        <w:rPr>
          <w:rFonts w:ascii="Times New Roman" w:hAnsi="Times New Roman"/>
          <w:color w:val="212121"/>
          <w:sz w:val="24"/>
          <w:szCs w:val="24"/>
          <w:lang w:val="en-GB"/>
        </w:rPr>
        <w:t>T</w:t>
      </w:r>
      <w:r w:rsidR="002B7047" w:rsidRPr="00AA024C">
        <w:rPr>
          <w:rFonts w:ascii="Times New Roman" w:hAnsi="Times New Roman"/>
          <w:color w:val="212121"/>
          <w:sz w:val="24"/>
          <w:szCs w:val="24"/>
          <w:lang w:val="en-GB"/>
        </w:rPr>
        <w:t xml:space="preserve">he bidder must submit a </w:t>
      </w:r>
      <w:r w:rsidR="000176D7" w:rsidRPr="00AA024C">
        <w:rPr>
          <w:rFonts w:ascii="Times New Roman" w:hAnsi="Times New Roman"/>
          <w:color w:val="212121"/>
          <w:sz w:val="24"/>
          <w:szCs w:val="24"/>
          <w:lang w:val="en-GB"/>
        </w:rPr>
        <w:t xml:space="preserve">declaration </w:t>
      </w:r>
      <w:r w:rsidR="002B7047" w:rsidRPr="00AA024C">
        <w:rPr>
          <w:rFonts w:ascii="Times New Roman" w:hAnsi="Times New Roman"/>
          <w:color w:val="212121"/>
          <w:sz w:val="24"/>
          <w:szCs w:val="24"/>
          <w:lang w:val="en-GB"/>
        </w:rPr>
        <w:t xml:space="preserve">for the eligibility </w:t>
      </w:r>
      <w:r w:rsidR="00D07317" w:rsidRPr="00AA024C">
        <w:rPr>
          <w:rFonts w:ascii="Times New Roman" w:hAnsi="Times New Roman"/>
          <w:color w:val="212121"/>
          <w:sz w:val="24"/>
          <w:szCs w:val="24"/>
          <w:lang w:val="en-GB"/>
        </w:rPr>
        <w:t>evaluation</w:t>
      </w:r>
      <w:r w:rsidR="00CD26D4" w:rsidRPr="00AA024C">
        <w:rPr>
          <w:rFonts w:ascii="Times New Roman" w:hAnsi="Times New Roman"/>
          <w:color w:val="212121"/>
          <w:sz w:val="24"/>
          <w:szCs w:val="24"/>
          <w:lang w:val="en-GB"/>
        </w:rPr>
        <w:t>.</w:t>
      </w:r>
      <w:r w:rsidR="002B7047" w:rsidRPr="00AA024C">
        <w:rPr>
          <w:rFonts w:ascii="Times New Roman" w:hAnsi="Times New Roman"/>
          <w:color w:val="212121"/>
          <w:sz w:val="24"/>
          <w:szCs w:val="24"/>
          <w:lang w:val="en-GB"/>
        </w:rPr>
        <w:t xml:space="preserve"> No other documents </w:t>
      </w:r>
      <w:r w:rsidR="00FB7C97" w:rsidRPr="00AA024C">
        <w:rPr>
          <w:rFonts w:ascii="Times New Roman" w:hAnsi="Times New Roman"/>
          <w:color w:val="212121"/>
          <w:sz w:val="24"/>
          <w:szCs w:val="24"/>
          <w:lang w:val="en-GB"/>
        </w:rPr>
        <w:t>shall</w:t>
      </w:r>
      <w:r w:rsidR="002B7047" w:rsidRPr="00AA024C">
        <w:rPr>
          <w:rFonts w:ascii="Times New Roman" w:hAnsi="Times New Roman"/>
          <w:color w:val="212121"/>
          <w:sz w:val="24"/>
          <w:szCs w:val="24"/>
          <w:lang w:val="en-GB"/>
        </w:rPr>
        <w:t xml:space="preserve"> </w:t>
      </w:r>
      <w:r w:rsidR="002B7047" w:rsidRPr="006204F6">
        <w:rPr>
          <w:rFonts w:ascii="Times New Roman" w:hAnsi="Times New Roman" w:cs="Times New Roman"/>
          <w:color w:val="212121"/>
          <w:sz w:val="24"/>
          <w:szCs w:val="24"/>
          <w:lang w:val="en-GB"/>
        </w:rPr>
        <w:t>be</w:t>
      </w:r>
      <w:r w:rsidR="002B7047" w:rsidRPr="00AA024C">
        <w:rPr>
          <w:rFonts w:ascii="Times New Roman" w:hAnsi="Times New Roman"/>
          <w:color w:val="212121"/>
          <w:sz w:val="24"/>
          <w:szCs w:val="24"/>
          <w:lang w:val="en-GB"/>
        </w:rPr>
        <w:t xml:space="preserve"> required from the </w:t>
      </w:r>
      <w:r w:rsidR="00FB7C97" w:rsidRPr="00AA024C">
        <w:rPr>
          <w:rFonts w:ascii="Times New Roman" w:hAnsi="Times New Roman"/>
          <w:color w:val="212121"/>
          <w:sz w:val="24"/>
          <w:szCs w:val="24"/>
          <w:lang w:val="en-GB"/>
        </w:rPr>
        <w:t xml:space="preserve">bidder for the </w:t>
      </w:r>
      <w:r w:rsidR="002B7047" w:rsidRPr="00AA024C">
        <w:rPr>
          <w:rFonts w:ascii="Times New Roman" w:hAnsi="Times New Roman"/>
          <w:color w:val="212121"/>
          <w:sz w:val="24"/>
          <w:szCs w:val="24"/>
          <w:lang w:val="en-GB"/>
        </w:rPr>
        <w:t xml:space="preserve">eligibility </w:t>
      </w:r>
      <w:r w:rsidR="00414A7B" w:rsidRPr="00AA024C">
        <w:rPr>
          <w:rFonts w:ascii="Times New Roman" w:hAnsi="Times New Roman"/>
          <w:color w:val="212121"/>
          <w:sz w:val="24"/>
          <w:szCs w:val="24"/>
          <w:lang w:val="en-GB"/>
        </w:rPr>
        <w:t>evaluation</w:t>
      </w:r>
      <w:r w:rsidR="00FB7C97" w:rsidRPr="00AA024C">
        <w:rPr>
          <w:rFonts w:ascii="Times New Roman" w:hAnsi="Times New Roman"/>
          <w:color w:val="212121"/>
          <w:sz w:val="24"/>
          <w:szCs w:val="24"/>
          <w:lang w:val="en-GB"/>
        </w:rPr>
        <w:t xml:space="preserve"> in ad</w:t>
      </w:r>
      <w:r w:rsidR="002B7047" w:rsidRPr="00AA024C">
        <w:rPr>
          <w:rFonts w:ascii="Times New Roman" w:hAnsi="Times New Roman"/>
          <w:color w:val="212121"/>
          <w:sz w:val="24"/>
          <w:szCs w:val="24"/>
          <w:lang w:val="en-GB"/>
        </w:rPr>
        <w:t xml:space="preserve">dition to </w:t>
      </w:r>
      <w:r w:rsidR="00CD26D4" w:rsidRPr="00AA024C">
        <w:rPr>
          <w:rFonts w:ascii="Times New Roman" w:hAnsi="Times New Roman"/>
          <w:color w:val="212121"/>
          <w:sz w:val="24"/>
          <w:szCs w:val="24"/>
          <w:lang w:val="en-GB"/>
        </w:rPr>
        <w:t>the</w:t>
      </w:r>
      <w:r w:rsidR="00F76A9D" w:rsidRPr="00AA024C">
        <w:rPr>
          <w:rFonts w:ascii="Times New Roman" w:hAnsi="Times New Roman"/>
          <w:color w:val="212121"/>
          <w:sz w:val="24"/>
          <w:szCs w:val="24"/>
          <w:lang w:val="en-GB"/>
        </w:rPr>
        <w:t xml:space="preserve"> </w:t>
      </w:r>
      <w:r w:rsidR="000176D7" w:rsidRPr="00AA024C">
        <w:rPr>
          <w:rFonts w:ascii="Times New Roman" w:hAnsi="Times New Roman"/>
          <w:color w:val="212121"/>
          <w:sz w:val="24"/>
          <w:szCs w:val="24"/>
          <w:lang w:val="en-GB"/>
        </w:rPr>
        <w:t>declaration</w:t>
      </w:r>
      <w:r w:rsidR="00FB7C97" w:rsidRPr="00AA024C">
        <w:rPr>
          <w:rFonts w:ascii="Times New Roman" w:hAnsi="Times New Roman"/>
          <w:color w:val="212121"/>
          <w:sz w:val="24"/>
          <w:szCs w:val="24"/>
          <w:lang w:val="en-GB"/>
        </w:rPr>
        <w:t xml:space="preserve">. </w:t>
      </w:r>
      <w:r w:rsidR="00F76A9D" w:rsidRPr="00AA024C">
        <w:rPr>
          <w:rFonts w:ascii="Times New Roman" w:hAnsi="Times New Roman"/>
          <w:color w:val="212121"/>
          <w:sz w:val="24"/>
          <w:szCs w:val="24"/>
          <w:lang w:val="en-GB"/>
        </w:rPr>
        <w:t xml:space="preserve">The proposed form </w:t>
      </w:r>
      <w:r w:rsidR="00FB7C97" w:rsidRPr="00AA024C">
        <w:rPr>
          <w:rFonts w:ascii="Times New Roman" w:hAnsi="Times New Roman"/>
          <w:color w:val="212121"/>
          <w:sz w:val="24"/>
          <w:szCs w:val="24"/>
          <w:lang w:val="en-GB"/>
        </w:rPr>
        <w:t xml:space="preserve">of the </w:t>
      </w:r>
      <w:r w:rsidR="000176D7" w:rsidRPr="00AA024C">
        <w:rPr>
          <w:rFonts w:ascii="Times New Roman" w:hAnsi="Times New Roman"/>
          <w:color w:val="212121"/>
          <w:sz w:val="24"/>
          <w:szCs w:val="24"/>
          <w:lang w:val="en-GB"/>
        </w:rPr>
        <w:t xml:space="preserve">declaration </w:t>
      </w:r>
      <w:r w:rsidR="00F76A9D" w:rsidRPr="00AA024C">
        <w:rPr>
          <w:rFonts w:ascii="Times New Roman" w:hAnsi="Times New Roman"/>
          <w:color w:val="212121"/>
          <w:sz w:val="24"/>
          <w:szCs w:val="24"/>
          <w:lang w:val="en-GB"/>
        </w:rPr>
        <w:t xml:space="preserve">and </w:t>
      </w:r>
      <w:r w:rsidR="00CD26D4" w:rsidRPr="00AA024C">
        <w:rPr>
          <w:rFonts w:ascii="Times New Roman" w:hAnsi="Times New Roman"/>
          <w:color w:val="212121"/>
          <w:sz w:val="24"/>
          <w:szCs w:val="24"/>
          <w:lang w:val="en-GB"/>
        </w:rPr>
        <w:t xml:space="preserve">the imposed requirements are specified in </w:t>
      </w:r>
      <w:r w:rsidR="00FB7C97" w:rsidRPr="00AA024C">
        <w:rPr>
          <w:rFonts w:ascii="Times New Roman" w:hAnsi="Times New Roman"/>
          <w:color w:val="212121"/>
          <w:sz w:val="24"/>
          <w:szCs w:val="24"/>
          <w:lang w:val="en-GB"/>
        </w:rPr>
        <w:t xml:space="preserve">Annex </w:t>
      </w:r>
      <w:r w:rsidR="00CD26D4" w:rsidRPr="00AA024C">
        <w:rPr>
          <w:rFonts w:ascii="Times New Roman" w:hAnsi="Times New Roman"/>
          <w:color w:val="212121"/>
          <w:sz w:val="24"/>
          <w:szCs w:val="24"/>
          <w:lang w:val="en-GB"/>
        </w:rPr>
        <w:t>N 2.1.</w:t>
      </w:r>
    </w:p>
    <w:p w:rsidR="00D70638" w:rsidRPr="00AA024C" w:rsidRDefault="00CD26D4" w:rsidP="00AF09B1">
      <w:pPr>
        <w:pStyle w:val="HTMLPreformatted"/>
        <w:tabs>
          <w:tab w:val="clear" w:pos="916"/>
          <w:tab w:val="left" w:pos="709"/>
        </w:tabs>
        <w:spacing w:line="0" w:lineRule="atLeast"/>
        <w:jc w:val="both"/>
        <w:rPr>
          <w:rFonts w:ascii="Times New Roman" w:hAnsi="Times New Roman" w:cs="Times New Roman"/>
          <w:sz w:val="24"/>
          <w:szCs w:val="24"/>
          <w:lang w:val="en-GB"/>
        </w:rPr>
      </w:pPr>
      <w:r w:rsidRPr="00AA024C">
        <w:rPr>
          <w:rFonts w:ascii="Times New Roman" w:hAnsi="Times New Roman" w:cs="Times New Roman"/>
          <w:sz w:val="24"/>
          <w:szCs w:val="24"/>
          <w:lang w:val="en-GB"/>
        </w:rPr>
        <w:t xml:space="preserve"> </w:t>
      </w:r>
      <w:r w:rsidR="003268B8" w:rsidRPr="00AA024C">
        <w:rPr>
          <w:rFonts w:ascii="Times New Roman" w:hAnsi="Times New Roman" w:cs="Times New Roman"/>
          <w:sz w:val="24"/>
          <w:szCs w:val="24"/>
          <w:lang w:val="en-GB"/>
        </w:rPr>
        <w:tab/>
      </w:r>
      <w:r w:rsidR="001107EB" w:rsidRPr="00AA024C">
        <w:rPr>
          <w:rFonts w:ascii="Times New Roman" w:hAnsi="Times New Roman" w:cs="Times New Roman"/>
          <w:color w:val="212121"/>
          <w:sz w:val="24"/>
          <w:szCs w:val="24"/>
          <w:lang w:val="en-GB"/>
        </w:rPr>
        <w:t xml:space="preserve"> </w:t>
      </w:r>
    </w:p>
    <w:p w:rsidR="00050488" w:rsidRPr="00AA4777" w:rsidRDefault="001107EB" w:rsidP="00AA4777">
      <w:pPr>
        <w:pStyle w:val="HTMLPreformatted"/>
        <w:numPr>
          <w:ilvl w:val="0"/>
          <w:numId w:val="15"/>
        </w:numPr>
        <w:shd w:val="clear" w:color="auto" w:fill="FFFFFF"/>
        <w:tabs>
          <w:tab w:val="clear" w:pos="916"/>
          <w:tab w:val="left" w:pos="709"/>
        </w:tabs>
        <w:ind w:left="142" w:firstLine="0"/>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 xml:space="preserve"> </w:t>
      </w:r>
      <w:r w:rsidR="00050488" w:rsidRPr="00AA024C">
        <w:rPr>
          <w:rFonts w:ascii="Times New Roman" w:hAnsi="Times New Roman" w:cs="Times New Roman"/>
          <w:sz w:val="24"/>
          <w:szCs w:val="24"/>
          <w:lang w:val="en-GB"/>
        </w:rPr>
        <w:t xml:space="preserve">The </w:t>
      </w:r>
      <w:r w:rsidR="00050488" w:rsidRPr="00AA4777">
        <w:rPr>
          <w:rFonts w:ascii="Times New Roman" w:hAnsi="Times New Roman"/>
          <w:color w:val="212121"/>
          <w:sz w:val="24"/>
          <w:szCs w:val="24"/>
          <w:lang w:val="en-GB"/>
        </w:rPr>
        <w:t>bidders</w:t>
      </w:r>
      <w:r w:rsidR="00050488" w:rsidRPr="00AA024C">
        <w:rPr>
          <w:rFonts w:ascii="Times New Roman" w:hAnsi="Times New Roman" w:cs="Times New Roman"/>
          <w:sz w:val="24"/>
          <w:szCs w:val="24"/>
          <w:lang w:val="en-GB"/>
        </w:rPr>
        <w:t xml:space="preserve"> </w:t>
      </w:r>
      <w:r w:rsidR="00050488" w:rsidRPr="00AA024C">
        <w:rPr>
          <w:rFonts w:ascii="Times New Roman" w:hAnsi="Times New Roman" w:cs="Times New Roman"/>
          <w:color w:val="212121"/>
          <w:sz w:val="24"/>
          <w:szCs w:val="24"/>
          <w:lang w:val="en-GB"/>
        </w:rPr>
        <w:t>can participate in the pre</w:t>
      </w:r>
      <w:r w:rsidR="00FA66B6" w:rsidRPr="00AA024C">
        <w:rPr>
          <w:rFonts w:ascii="Times New Roman" w:hAnsi="Times New Roman" w:cs="Times New Roman"/>
          <w:color w:val="212121"/>
          <w:sz w:val="24"/>
          <w:szCs w:val="24"/>
          <w:lang w:val="en-GB"/>
        </w:rPr>
        <w:t>-</w:t>
      </w:r>
      <w:r w:rsidR="00050488" w:rsidRPr="00AA024C">
        <w:rPr>
          <w:rFonts w:ascii="Times New Roman" w:hAnsi="Times New Roman" w:cs="Times New Roman"/>
          <w:color w:val="212121"/>
          <w:sz w:val="24"/>
          <w:szCs w:val="24"/>
          <w:lang w:val="en-GB"/>
        </w:rPr>
        <w:t xml:space="preserve">qualification procedure </w:t>
      </w:r>
      <w:r w:rsidR="00A9194F" w:rsidRPr="00AA024C">
        <w:rPr>
          <w:rFonts w:ascii="Times New Roman" w:hAnsi="Times New Roman" w:cs="Times New Roman"/>
          <w:color w:val="212121"/>
          <w:sz w:val="24"/>
          <w:szCs w:val="24"/>
          <w:lang w:val="en-GB"/>
        </w:rPr>
        <w:t>by joining efforts as a consortium</w:t>
      </w:r>
      <w:r w:rsidR="00050488" w:rsidRPr="00AA024C">
        <w:rPr>
          <w:rFonts w:ascii="Times New Roman" w:hAnsi="Times New Roman" w:cs="Times New Roman"/>
          <w:color w:val="212121"/>
          <w:sz w:val="24"/>
          <w:szCs w:val="24"/>
          <w:lang w:val="en-GB"/>
        </w:rPr>
        <w:t>. In such a case</w:t>
      </w:r>
      <w:r w:rsidR="00A9194F" w:rsidRPr="00AA4777">
        <w:rPr>
          <w:rFonts w:ascii="Times New Roman" w:hAnsi="Times New Roman" w:cs="Times New Roman"/>
          <w:color w:val="212121"/>
          <w:sz w:val="24"/>
          <w:szCs w:val="24"/>
          <w:lang w:val="en-GB"/>
        </w:rPr>
        <w:t>։</w:t>
      </w:r>
    </w:p>
    <w:p w:rsidR="00A9194F" w:rsidRPr="00AA024C" w:rsidRDefault="00A9194F" w:rsidP="00AF09B1">
      <w:pPr>
        <w:pStyle w:val="HTMLPreformatted"/>
        <w:shd w:val="clear" w:color="auto" w:fill="FFFFFF"/>
        <w:ind w:firstLine="709"/>
        <w:jc w:val="both"/>
        <w:rPr>
          <w:rFonts w:ascii="Times New Roman" w:hAnsi="Times New Roman" w:cs="Times New Roman"/>
          <w:color w:val="212121"/>
          <w:sz w:val="24"/>
          <w:szCs w:val="24"/>
          <w:lang w:val="en-GB"/>
        </w:rPr>
      </w:pPr>
    </w:p>
    <w:p w:rsidR="00A9194F" w:rsidRPr="00AA024C" w:rsidRDefault="00A9194F" w:rsidP="00AA4777">
      <w:pPr>
        <w:pStyle w:val="HTMLPreformatted"/>
        <w:numPr>
          <w:ilvl w:val="1"/>
          <w:numId w:val="6"/>
        </w:numPr>
        <w:shd w:val="clear" w:color="auto" w:fill="FFFFFF"/>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t</w:t>
      </w:r>
      <w:r w:rsidR="008C3698" w:rsidRPr="00AA024C">
        <w:rPr>
          <w:rFonts w:ascii="Times New Roman" w:hAnsi="Times New Roman" w:cs="Times New Roman"/>
          <w:color w:val="212121"/>
          <w:sz w:val="24"/>
          <w:szCs w:val="24"/>
          <w:lang w:val="en-GB"/>
        </w:rPr>
        <w:t>he pre</w:t>
      </w:r>
      <w:r w:rsidR="00FA66B6" w:rsidRPr="00AA024C">
        <w:rPr>
          <w:rFonts w:ascii="Times New Roman" w:hAnsi="Times New Roman" w:cs="Times New Roman"/>
          <w:color w:val="212121"/>
          <w:sz w:val="24"/>
          <w:szCs w:val="24"/>
          <w:lang w:val="en-GB"/>
        </w:rPr>
        <w:t>-</w:t>
      </w:r>
      <w:r w:rsidR="008C3698" w:rsidRPr="00AA024C">
        <w:rPr>
          <w:rFonts w:ascii="Times New Roman" w:hAnsi="Times New Roman" w:cs="Times New Roman"/>
          <w:color w:val="212121"/>
          <w:sz w:val="24"/>
          <w:szCs w:val="24"/>
          <w:lang w:val="en-GB"/>
        </w:rPr>
        <w:t xml:space="preserve">qualification application </w:t>
      </w:r>
      <w:r w:rsidR="00621127" w:rsidRPr="00AA024C">
        <w:rPr>
          <w:rFonts w:ascii="Times New Roman" w:hAnsi="Times New Roman" w:cs="Times New Roman"/>
          <w:color w:val="212121"/>
          <w:sz w:val="24"/>
          <w:szCs w:val="24"/>
          <w:lang w:val="en-GB"/>
        </w:rPr>
        <w:t xml:space="preserve">should </w:t>
      </w:r>
      <w:r w:rsidR="008C3698" w:rsidRPr="00AA024C">
        <w:rPr>
          <w:rFonts w:ascii="Times New Roman" w:hAnsi="Times New Roman" w:cs="Times New Roman"/>
          <w:color w:val="212121"/>
          <w:sz w:val="24"/>
          <w:szCs w:val="24"/>
          <w:lang w:val="en-GB"/>
        </w:rPr>
        <w:t xml:space="preserve">also include a joint </w:t>
      </w:r>
      <w:r w:rsidRPr="00AA024C">
        <w:rPr>
          <w:rFonts w:ascii="Times New Roman" w:hAnsi="Times New Roman" w:cs="Times New Roman"/>
          <w:color w:val="212121"/>
          <w:sz w:val="24"/>
          <w:szCs w:val="24"/>
          <w:lang w:val="en-GB"/>
        </w:rPr>
        <w:t xml:space="preserve">venture </w:t>
      </w:r>
      <w:r w:rsidR="008C3698" w:rsidRPr="00AA024C">
        <w:rPr>
          <w:rFonts w:ascii="Times New Roman" w:hAnsi="Times New Roman" w:cs="Times New Roman"/>
          <w:color w:val="212121"/>
          <w:sz w:val="24"/>
          <w:szCs w:val="24"/>
          <w:lang w:val="en-GB"/>
        </w:rPr>
        <w:t>agreement</w:t>
      </w:r>
      <w:r w:rsidRPr="00AA024C">
        <w:rPr>
          <w:rFonts w:ascii="Times New Roman" w:hAnsi="Times New Roman" w:cs="Times New Roman"/>
          <w:color w:val="212121"/>
          <w:sz w:val="24"/>
          <w:szCs w:val="24"/>
          <w:lang w:val="en-GB"/>
        </w:rPr>
        <w:t>;</w:t>
      </w:r>
    </w:p>
    <w:p w:rsidR="00214E57" w:rsidRPr="00AA024C" w:rsidRDefault="00D72B40" w:rsidP="00A9194F">
      <w:pPr>
        <w:pStyle w:val="HTMLPreformatted"/>
        <w:numPr>
          <w:ilvl w:val="1"/>
          <w:numId w:val="6"/>
        </w:numPr>
        <w:shd w:val="clear" w:color="auto" w:fill="FFFFFF"/>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lastRenderedPageBreak/>
        <w:t>j</w:t>
      </w:r>
      <w:r w:rsidR="00A9194F" w:rsidRPr="00AA024C">
        <w:rPr>
          <w:rFonts w:ascii="Times New Roman" w:hAnsi="Times New Roman" w:cs="Times New Roman"/>
          <w:color w:val="212121"/>
          <w:sz w:val="24"/>
          <w:szCs w:val="24"/>
          <w:lang w:val="en-GB"/>
        </w:rPr>
        <w:t xml:space="preserve">oint venture agreement shall </w:t>
      </w:r>
      <w:r w:rsidR="00214E57" w:rsidRPr="00AA024C">
        <w:rPr>
          <w:rFonts w:ascii="Times New Roman" w:hAnsi="Times New Roman" w:cs="Times New Roman"/>
          <w:color w:val="212121"/>
          <w:sz w:val="24"/>
          <w:szCs w:val="24"/>
          <w:lang w:val="en-GB"/>
        </w:rPr>
        <w:t xml:space="preserve">specify also </w:t>
      </w:r>
      <w:r w:rsidR="00E74E3E">
        <w:rPr>
          <w:rFonts w:ascii="Times New Roman" w:hAnsi="Times New Roman" w:cs="Times New Roman"/>
          <w:color w:val="212121"/>
          <w:sz w:val="24"/>
          <w:szCs w:val="24"/>
          <w:lang w:val="en-GB"/>
        </w:rPr>
        <w:t>which of the</w:t>
      </w:r>
      <w:r w:rsidR="00214E57" w:rsidRPr="00AA024C">
        <w:rPr>
          <w:rFonts w:ascii="Times New Roman" w:hAnsi="Times New Roman" w:cs="Times New Roman"/>
          <w:color w:val="212121"/>
          <w:sz w:val="24"/>
          <w:szCs w:val="24"/>
          <w:lang w:val="en-GB"/>
        </w:rPr>
        <w:t xml:space="preserve"> qualification criterion </w:t>
      </w:r>
      <w:r w:rsidR="00E74E3E" w:rsidRPr="00AA024C">
        <w:rPr>
          <w:rFonts w:ascii="Times New Roman" w:hAnsi="Times New Roman" w:cs="Times New Roman"/>
          <w:color w:val="212121"/>
          <w:sz w:val="24"/>
          <w:szCs w:val="24"/>
          <w:lang w:val="en-GB"/>
        </w:rPr>
        <w:t>criteri</w:t>
      </w:r>
      <w:r w:rsidR="00E74E3E">
        <w:rPr>
          <w:rFonts w:ascii="Times New Roman" w:hAnsi="Times New Roman" w:cs="Times New Roman"/>
          <w:color w:val="212121"/>
          <w:sz w:val="24"/>
          <w:szCs w:val="24"/>
          <w:lang w:val="en-GB"/>
        </w:rPr>
        <w:t>a</w:t>
      </w:r>
      <w:r w:rsidR="00E74E3E" w:rsidRPr="00AA024C">
        <w:rPr>
          <w:rFonts w:ascii="Times New Roman" w:hAnsi="Times New Roman" w:cs="Times New Roman"/>
          <w:color w:val="212121"/>
          <w:sz w:val="24"/>
          <w:szCs w:val="24"/>
          <w:lang w:val="en-GB"/>
        </w:rPr>
        <w:t xml:space="preserve"> will </w:t>
      </w:r>
      <w:r w:rsidR="00E74E3E">
        <w:rPr>
          <w:rFonts w:ascii="Times New Roman" w:hAnsi="Times New Roman" w:cs="Times New Roman"/>
          <w:color w:val="212121"/>
          <w:sz w:val="24"/>
          <w:szCs w:val="24"/>
          <w:lang w:val="en-GB"/>
        </w:rPr>
        <w:t>be satisfied by which</w:t>
      </w:r>
      <w:r w:rsidR="00E74E3E" w:rsidRPr="00AA024C">
        <w:rPr>
          <w:rFonts w:ascii="Times New Roman" w:hAnsi="Times New Roman" w:cs="Times New Roman"/>
          <w:color w:val="212121"/>
          <w:sz w:val="24"/>
          <w:szCs w:val="24"/>
          <w:lang w:val="en-GB"/>
        </w:rPr>
        <w:t xml:space="preserve"> </w:t>
      </w:r>
      <w:r w:rsidR="00214E57" w:rsidRPr="00AA024C">
        <w:rPr>
          <w:rFonts w:ascii="Times New Roman" w:hAnsi="Times New Roman" w:cs="Times New Roman"/>
          <w:color w:val="212121"/>
          <w:sz w:val="24"/>
          <w:szCs w:val="24"/>
          <w:lang w:val="en-GB"/>
        </w:rPr>
        <w:t>member of consortium;</w:t>
      </w:r>
    </w:p>
    <w:p w:rsidR="00D72B40" w:rsidRPr="00AA024C" w:rsidRDefault="00D72B40" w:rsidP="00D72B40">
      <w:pPr>
        <w:pStyle w:val="HTMLPreformatted"/>
        <w:numPr>
          <w:ilvl w:val="1"/>
          <w:numId w:val="6"/>
        </w:numPr>
        <w:shd w:val="clear" w:color="auto" w:fill="FFFFFF"/>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 xml:space="preserve">joint venture agreement shall also stipulate that the </w:t>
      </w:r>
      <w:r w:rsidR="003F45F4" w:rsidRPr="00AA024C">
        <w:rPr>
          <w:rFonts w:ascii="Times New Roman" w:hAnsi="Times New Roman" w:cs="Times New Roman"/>
          <w:color w:val="212121"/>
          <w:sz w:val="24"/>
          <w:szCs w:val="24"/>
          <w:lang w:val="en-GB"/>
        </w:rPr>
        <w:t xml:space="preserve">joint venture </w:t>
      </w:r>
      <w:r w:rsidR="00C47EBC" w:rsidRPr="00AA024C">
        <w:rPr>
          <w:rFonts w:ascii="Times New Roman" w:hAnsi="Times New Roman" w:cs="Times New Roman"/>
          <w:color w:val="212121"/>
          <w:sz w:val="24"/>
          <w:szCs w:val="24"/>
          <w:lang w:val="en-GB"/>
        </w:rPr>
        <w:t>members</w:t>
      </w:r>
      <w:r w:rsidRPr="00AA024C">
        <w:rPr>
          <w:rFonts w:ascii="Times New Roman" w:hAnsi="Times New Roman" w:cs="Times New Roman"/>
          <w:color w:val="212121"/>
          <w:sz w:val="24"/>
          <w:szCs w:val="24"/>
          <w:lang w:val="en-GB"/>
        </w:rPr>
        <w:t xml:space="preserve"> shall bear joint and  several liability;</w:t>
      </w:r>
    </w:p>
    <w:p w:rsidR="00214E57" w:rsidRPr="002D7695" w:rsidRDefault="008C3698" w:rsidP="00AA4777">
      <w:pPr>
        <w:pStyle w:val="BodyTextIndent"/>
        <w:numPr>
          <w:ilvl w:val="1"/>
          <w:numId w:val="6"/>
        </w:numPr>
        <w:spacing w:line="240" w:lineRule="auto"/>
        <w:rPr>
          <w:rFonts w:ascii="Times New Roman" w:hAnsi="Times New Roman"/>
          <w:i w:val="0"/>
          <w:sz w:val="24"/>
          <w:szCs w:val="24"/>
          <w:lang w:val="en-GB"/>
        </w:rPr>
      </w:pPr>
      <w:r w:rsidRPr="00AA024C">
        <w:rPr>
          <w:rFonts w:ascii="Times New Roman" w:hAnsi="Times New Roman"/>
          <w:i w:val="0"/>
          <w:sz w:val="24"/>
          <w:szCs w:val="24"/>
          <w:lang w:val="en-GB"/>
        </w:rPr>
        <w:t xml:space="preserve">during the </w:t>
      </w:r>
      <w:r w:rsidR="00FA66B6" w:rsidRPr="00AA024C">
        <w:rPr>
          <w:rFonts w:ascii="Times New Roman" w:hAnsi="Times New Roman"/>
          <w:i w:val="0"/>
          <w:sz w:val="24"/>
          <w:szCs w:val="24"/>
          <w:lang w:val="en-GB"/>
        </w:rPr>
        <w:t>evaluation</w:t>
      </w:r>
      <w:r w:rsidRPr="00AA024C">
        <w:rPr>
          <w:rFonts w:ascii="Times New Roman" w:hAnsi="Times New Roman"/>
          <w:i w:val="0"/>
          <w:sz w:val="24"/>
          <w:szCs w:val="24"/>
          <w:lang w:val="en-GB"/>
        </w:rPr>
        <w:t xml:space="preserve"> of the application</w:t>
      </w:r>
      <w:r w:rsidR="00E74E3E">
        <w:rPr>
          <w:rFonts w:ascii="Times New Roman" w:hAnsi="Times New Roman"/>
          <w:i w:val="0"/>
          <w:sz w:val="24"/>
          <w:szCs w:val="24"/>
          <w:lang w:val="en-GB"/>
        </w:rPr>
        <w:t>,</w:t>
      </w:r>
      <w:r w:rsidRPr="00AA024C">
        <w:rPr>
          <w:rFonts w:ascii="Times New Roman" w:hAnsi="Times New Roman"/>
          <w:i w:val="0"/>
          <w:sz w:val="24"/>
          <w:szCs w:val="24"/>
          <w:lang w:val="en-GB"/>
        </w:rPr>
        <w:t xml:space="preserve"> the </w:t>
      </w:r>
      <w:r w:rsidRPr="00AA024C">
        <w:rPr>
          <w:rFonts w:ascii="Times New Roman" w:hAnsi="Times New Roman"/>
          <w:i w:val="0"/>
          <w:color w:val="212121"/>
          <w:sz w:val="24"/>
          <w:szCs w:val="24"/>
          <w:lang w:val="en-GB"/>
        </w:rPr>
        <w:t xml:space="preserve">unified qualifications of all the </w:t>
      </w:r>
      <w:r w:rsidR="00C47EBC" w:rsidRPr="002D7695">
        <w:rPr>
          <w:rFonts w:ascii="Times New Roman" w:hAnsi="Times New Roman"/>
          <w:i w:val="0"/>
          <w:sz w:val="24"/>
          <w:szCs w:val="24"/>
          <w:lang w:val="en-GB"/>
        </w:rPr>
        <w:t>members</w:t>
      </w:r>
      <w:r w:rsidR="003F45F4" w:rsidRPr="002D7695">
        <w:rPr>
          <w:rFonts w:ascii="Times New Roman" w:hAnsi="Times New Roman"/>
          <w:i w:val="0"/>
          <w:sz w:val="24"/>
          <w:szCs w:val="24"/>
          <w:lang w:val="en-GB"/>
        </w:rPr>
        <w:t xml:space="preserve"> </w:t>
      </w:r>
      <w:r w:rsidRPr="002D7695">
        <w:rPr>
          <w:rFonts w:ascii="Times New Roman" w:hAnsi="Times New Roman"/>
          <w:i w:val="0"/>
          <w:sz w:val="24"/>
          <w:szCs w:val="24"/>
          <w:lang w:val="en-GB"/>
        </w:rPr>
        <w:t xml:space="preserve">of joint </w:t>
      </w:r>
      <w:r w:rsidR="00D72B40" w:rsidRPr="002D7695">
        <w:rPr>
          <w:rFonts w:ascii="Times New Roman" w:hAnsi="Times New Roman"/>
          <w:i w:val="0"/>
          <w:sz w:val="24"/>
          <w:szCs w:val="24"/>
          <w:lang w:val="en-GB"/>
        </w:rPr>
        <w:t xml:space="preserve">venture </w:t>
      </w:r>
      <w:r w:rsidRPr="002D7695">
        <w:rPr>
          <w:rFonts w:ascii="Times New Roman" w:hAnsi="Times New Roman"/>
          <w:i w:val="0"/>
          <w:sz w:val="24"/>
          <w:szCs w:val="24"/>
          <w:lang w:val="en-GB"/>
        </w:rPr>
        <w:t>agreement</w:t>
      </w:r>
      <w:r w:rsidRPr="00AA024C">
        <w:rPr>
          <w:rFonts w:ascii="Times New Roman" w:hAnsi="Times New Roman"/>
          <w:i w:val="0"/>
          <w:sz w:val="24"/>
          <w:szCs w:val="24"/>
          <w:lang w:val="en-GB"/>
        </w:rPr>
        <w:t xml:space="preserve"> </w:t>
      </w:r>
      <w:r w:rsidR="00621127" w:rsidRPr="00AA024C">
        <w:rPr>
          <w:rFonts w:ascii="Times New Roman" w:hAnsi="Times New Roman"/>
          <w:i w:val="0"/>
          <w:sz w:val="24"/>
          <w:szCs w:val="24"/>
          <w:lang w:val="en-GB"/>
        </w:rPr>
        <w:t>shall be</w:t>
      </w:r>
      <w:r w:rsidRPr="00AA024C">
        <w:rPr>
          <w:rFonts w:ascii="Times New Roman" w:hAnsi="Times New Roman"/>
          <w:i w:val="0"/>
          <w:sz w:val="24"/>
          <w:szCs w:val="24"/>
          <w:lang w:val="en-GB"/>
        </w:rPr>
        <w:t xml:space="preserve"> </w:t>
      </w:r>
      <w:r w:rsidR="00FA66B6" w:rsidRPr="002D7695">
        <w:rPr>
          <w:rFonts w:ascii="Times New Roman" w:hAnsi="Times New Roman"/>
          <w:i w:val="0"/>
          <w:sz w:val="24"/>
          <w:szCs w:val="24"/>
          <w:lang w:val="en-GB"/>
        </w:rPr>
        <w:t>taken into account</w:t>
      </w:r>
      <w:r w:rsidR="00214E57" w:rsidRPr="002D7695">
        <w:rPr>
          <w:rFonts w:ascii="Times New Roman" w:hAnsi="Times New Roman"/>
          <w:i w:val="0"/>
          <w:sz w:val="24"/>
          <w:szCs w:val="24"/>
          <w:lang w:val="en-GB"/>
        </w:rPr>
        <w:t>.</w:t>
      </w:r>
    </w:p>
    <w:p w:rsidR="008C3698" w:rsidRPr="002D7695" w:rsidRDefault="00621127" w:rsidP="002D7695">
      <w:pPr>
        <w:pStyle w:val="HTMLPreformatted"/>
        <w:tabs>
          <w:tab w:val="clear" w:pos="916"/>
          <w:tab w:val="left" w:pos="709"/>
        </w:tabs>
        <w:spacing w:line="0" w:lineRule="atLeast"/>
        <w:jc w:val="both"/>
        <w:rPr>
          <w:rFonts w:ascii="Times New Roman" w:hAnsi="Times New Roman" w:cs="Times New Roman"/>
          <w:sz w:val="24"/>
          <w:szCs w:val="24"/>
          <w:lang w:val="en-GB"/>
        </w:rPr>
      </w:pPr>
      <w:r w:rsidRPr="002D7695">
        <w:rPr>
          <w:rFonts w:ascii="Times New Roman" w:hAnsi="Times New Roman" w:cs="Times New Roman"/>
          <w:sz w:val="24"/>
          <w:szCs w:val="24"/>
          <w:lang w:val="en-GB"/>
        </w:rPr>
        <w:t xml:space="preserve"> </w:t>
      </w:r>
    </w:p>
    <w:p w:rsidR="00A41D71" w:rsidRPr="00AA024C" w:rsidRDefault="005712E2" w:rsidP="00AA4777">
      <w:pPr>
        <w:pStyle w:val="HTMLPreformatted"/>
        <w:numPr>
          <w:ilvl w:val="0"/>
          <w:numId w:val="15"/>
        </w:numPr>
        <w:shd w:val="clear" w:color="auto" w:fill="FFFFFF"/>
        <w:tabs>
          <w:tab w:val="clear" w:pos="916"/>
          <w:tab w:val="left" w:pos="709"/>
        </w:tabs>
        <w:ind w:left="142" w:firstLine="0"/>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 xml:space="preserve">The </w:t>
      </w:r>
      <w:r w:rsidR="00214E57" w:rsidRPr="006204F6">
        <w:rPr>
          <w:rFonts w:ascii="Times New Roman" w:hAnsi="Times New Roman"/>
          <w:color w:val="212121"/>
          <w:sz w:val="24"/>
          <w:szCs w:val="24"/>
          <w:lang w:val="en-GB"/>
        </w:rPr>
        <w:t>C</w:t>
      </w:r>
      <w:r w:rsidRPr="006204F6">
        <w:rPr>
          <w:rFonts w:ascii="Times New Roman" w:hAnsi="Times New Roman"/>
          <w:color w:val="212121"/>
          <w:sz w:val="24"/>
          <w:szCs w:val="24"/>
          <w:lang w:val="en-GB"/>
        </w:rPr>
        <w:t>lient</w:t>
      </w:r>
      <w:r w:rsidRPr="00AA024C">
        <w:rPr>
          <w:rFonts w:ascii="Times New Roman" w:hAnsi="Times New Roman" w:cs="Times New Roman"/>
          <w:color w:val="212121"/>
          <w:sz w:val="24"/>
          <w:szCs w:val="24"/>
          <w:lang w:val="en-GB"/>
        </w:rPr>
        <w:t xml:space="preserve"> </w:t>
      </w:r>
      <w:r w:rsidR="00F96D28" w:rsidRPr="00AA024C">
        <w:rPr>
          <w:rFonts w:ascii="Times New Roman" w:hAnsi="Times New Roman" w:cs="Times New Roman"/>
          <w:color w:val="212121"/>
          <w:sz w:val="24"/>
          <w:szCs w:val="24"/>
          <w:lang w:val="en-GB"/>
        </w:rPr>
        <w:t>shall</w:t>
      </w:r>
      <w:r w:rsidRPr="00AA024C">
        <w:rPr>
          <w:rFonts w:ascii="Times New Roman" w:hAnsi="Times New Roman" w:cs="Times New Roman"/>
          <w:color w:val="212121"/>
          <w:sz w:val="24"/>
          <w:szCs w:val="24"/>
          <w:lang w:val="en-GB"/>
        </w:rPr>
        <w:t xml:space="preserve"> respond to </w:t>
      </w:r>
      <w:r w:rsidR="00A41D71" w:rsidRPr="00AA024C">
        <w:rPr>
          <w:rFonts w:ascii="Times New Roman" w:hAnsi="Times New Roman" w:cs="Times New Roman"/>
          <w:color w:val="212121"/>
          <w:sz w:val="24"/>
          <w:szCs w:val="24"/>
          <w:lang w:val="en-GB"/>
        </w:rPr>
        <w:t>the bidder’s</w:t>
      </w:r>
      <w:r w:rsidRPr="00AA024C">
        <w:rPr>
          <w:rFonts w:ascii="Times New Roman" w:hAnsi="Times New Roman" w:cs="Times New Roman"/>
          <w:color w:val="212121"/>
          <w:sz w:val="24"/>
          <w:szCs w:val="24"/>
          <w:lang w:val="en-GB"/>
        </w:rPr>
        <w:t xml:space="preserve"> request for </w:t>
      </w:r>
      <w:r w:rsidR="00F96D28" w:rsidRPr="00AA024C">
        <w:rPr>
          <w:rFonts w:ascii="Times New Roman" w:hAnsi="Times New Roman" w:cs="Times New Roman"/>
          <w:color w:val="212121"/>
          <w:sz w:val="24"/>
          <w:szCs w:val="24"/>
          <w:lang w:val="en-GB"/>
        </w:rPr>
        <w:t>clarification regarding the pre</w:t>
      </w:r>
      <w:r w:rsidR="00FA66B6" w:rsidRPr="00AA024C">
        <w:rPr>
          <w:rFonts w:ascii="Times New Roman" w:hAnsi="Times New Roman" w:cs="Times New Roman"/>
          <w:color w:val="212121"/>
          <w:sz w:val="24"/>
          <w:szCs w:val="24"/>
          <w:lang w:val="en-GB"/>
        </w:rPr>
        <w:t>-</w:t>
      </w:r>
      <w:r w:rsidRPr="00AA024C">
        <w:rPr>
          <w:rFonts w:ascii="Times New Roman" w:hAnsi="Times New Roman" w:cs="Times New Roman"/>
          <w:color w:val="212121"/>
          <w:sz w:val="24"/>
          <w:szCs w:val="24"/>
          <w:lang w:val="en-GB"/>
        </w:rPr>
        <w:t xml:space="preserve">qualification </w:t>
      </w:r>
      <w:r w:rsidR="00E74E3E">
        <w:rPr>
          <w:rFonts w:ascii="Times New Roman" w:hAnsi="Times New Roman" w:cs="Times New Roman"/>
          <w:color w:val="212121"/>
          <w:sz w:val="24"/>
          <w:szCs w:val="24"/>
          <w:lang w:val="en-GB"/>
        </w:rPr>
        <w:t>within</w:t>
      </w:r>
      <w:r w:rsidR="00E74E3E" w:rsidRPr="00AA024C">
        <w:rPr>
          <w:rFonts w:ascii="Times New Roman" w:hAnsi="Times New Roman" w:cs="Times New Roman"/>
          <w:color w:val="212121"/>
          <w:sz w:val="24"/>
          <w:szCs w:val="24"/>
          <w:lang w:val="en-GB"/>
        </w:rPr>
        <w:t xml:space="preserve"> </w:t>
      </w:r>
      <w:r w:rsidR="00A41D71" w:rsidRPr="00AA024C">
        <w:rPr>
          <w:rFonts w:ascii="Times New Roman" w:hAnsi="Times New Roman" w:cs="Times New Roman"/>
          <w:color w:val="212121"/>
          <w:sz w:val="24"/>
          <w:szCs w:val="24"/>
          <w:lang w:val="en-GB"/>
        </w:rPr>
        <w:t>three calendar days</w:t>
      </w:r>
      <w:r w:rsidRPr="00AA024C">
        <w:rPr>
          <w:rFonts w:ascii="Times New Roman" w:hAnsi="Times New Roman" w:cs="Times New Roman"/>
          <w:color w:val="212121"/>
          <w:sz w:val="24"/>
          <w:szCs w:val="24"/>
          <w:lang w:val="en-GB"/>
        </w:rPr>
        <w:t>, if it is received not later than five calendar days before the deadline for the submission of pre</w:t>
      </w:r>
      <w:r w:rsidR="00FA66B6" w:rsidRPr="00AA024C">
        <w:rPr>
          <w:rFonts w:ascii="Times New Roman" w:hAnsi="Times New Roman" w:cs="Times New Roman"/>
          <w:color w:val="212121"/>
          <w:sz w:val="24"/>
          <w:szCs w:val="24"/>
          <w:lang w:val="en-GB"/>
        </w:rPr>
        <w:t>-</w:t>
      </w:r>
      <w:r w:rsidRPr="00AA024C">
        <w:rPr>
          <w:rFonts w:ascii="Times New Roman" w:hAnsi="Times New Roman" w:cs="Times New Roman"/>
          <w:color w:val="212121"/>
          <w:sz w:val="24"/>
          <w:szCs w:val="24"/>
          <w:lang w:val="en-GB"/>
        </w:rPr>
        <w:t>qualification applications.</w:t>
      </w:r>
      <w:r w:rsidR="00A41D71" w:rsidRPr="00AA024C">
        <w:rPr>
          <w:rFonts w:ascii="Times New Roman" w:hAnsi="Times New Roman" w:cs="Times New Roman"/>
          <w:color w:val="212121"/>
          <w:sz w:val="24"/>
          <w:szCs w:val="24"/>
          <w:lang w:val="en-GB"/>
        </w:rPr>
        <w:t xml:space="preserve"> The</w:t>
      </w:r>
      <w:r w:rsidR="00F96D28" w:rsidRPr="00AA024C">
        <w:rPr>
          <w:rFonts w:ascii="Times New Roman" w:hAnsi="Times New Roman" w:cs="Times New Roman"/>
          <w:color w:val="212121"/>
          <w:sz w:val="24"/>
          <w:szCs w:val="24"/>
          <w:lang w:val="en-GB"/>
        </w:rPr>
        <w:t xml:space="preserve"> </w:t>
      </w:r>
      <w:r w:rsidR="00214E57" w:rsidRPr="00AA024C">
        <w:rPr>
          <w:rFonts w:ascii="Times New Roman" w:hAnsi="Times New Roman" w:cs="Times New Roman"/>
          <w:color w:val="212121"/>
          <w:sz w:val="24"/>
          <w:szCs w:val="24"/>
          <w:lang w:val="en-GB"/>
        </w:rPr>
        <w:t>C</w:t>
      </w:r>
      <w:r w:rsidR="00F96D28" w:rsidRPr="00AA024C">
        <w:rPr>
          <w:rFonts w:ascii="Times New Roman" w:hAnsi="Times New Roman" w:cs="Times New Roman"/>
          <w:color w:val="212121"/>
          <w:sz w:val="24"/>
          <w:szCs w:val="24"/>
          <w:lang w:val="en-GB"/>
        </w:rPr>
        <w:t>lient publishes the</w:t>
      </w:r>
      <w:r w:rsidR="00A41D71" w:rsidRPr="00AA024C">
        <w:rPr>
          <w:rFonts w:ascii="Times New Roman" w:hAnsi="Times New Roman" w:cs="Times New Roman"/>
          <w:color w:val="212121"/>
          <w:sz w:val="24"/>
          <w:szCs w:val="24"/>
          <w:lang w:val="en-GB"/>
        </w:rPr>
        <w:t xml:space="preserve"> information </w:t>
      </w:r>
      <w:r w:rsidR="00F96D28" w:rsidRPr="00AA024C">
        <w:rPr>
          <w:rFonts w:ascii="Times New Roman" w:hAnsi="Times New Roman" w:cs="Times New Roman"/>
          <w:color w:val="212121"/>
          <w:sz w:val="24"/>
          <w:szCs w:val="24"/>
          <w:lang w:val="en-GB"/>
        </w:rPr>
        <w:t>regarding the request</w:t>
      </w:r>
      <w:r w:rsidR="00214E57" w:rsidRPr="00AA024C">
        <w:rPr>
          <w:rFonts w:ascii="Times New Roman" w:hAnsi="Times New Roman" w:cs="Times New Roman"/>
          <w:color w:val="212121"/>
          <w:sz w:val="24"/>
          <w:szCs w:val="24"/>
          <w:lang w:val="en-GB"/>
        </w:rPr>
        <w:t xml:space="preserve"> for clarification</w:t>
      </w:r>
      <w:r w:rsidR="00CF3101" w:rsidRPr="00AA024C">
        <w:rPr>
          <w:rFonts w:ascii="Times New Roman" w:hAnsi="Times New Roman" w:cs="Times New Roman"/>
          <w:color w:val="212121"/>
          <w:sz w:val="24"/>
          <w:szCs w:val="24"/>
          <w:lang w:val="en-GB"/>
        </w:rPr>
        <w:t>s</w:t>
      </w:r>
      <w:r w:rsidR="00F96D28" w:rsidRPr="00AA024C">
        <w:rPr>
          <w:rFonts w:ascii="Times New Roman" w:hAnsi="Times New Roman" w:cs="Times New Roman"/>
          <w:color w:val="212121"/>
          <w:sz w:val="24"/>
          <w:szCs w:val="24"/>
          <w:lang w:val="en-GB"/>
        </w:rPr>
        <w:t xml:space="preserve"> and </w:t>
      </w:r>
      <w:r w:rsidR="00A41D71" w:rsidRPr="00AA024C">
        <w:rPr>
          <w:rFonts w:ascii="Times New Roman" w:hAnsi="Times New Roman" w:cs="Times New Roman"/>
          <w:color w:val="212121"/>
          <w:sz w:val="24"/>
          <w:szCs w:val="24"/>
          <w:lang w:val="en-GB"/>
        </w:rPr>
        <w:t>provided clarification</w:t>
      </w:r>
      <w:r w:rsidR="00CF3101" w:rsidRPr="00AA024C">
        <w:rPr>
          <w:rFonts w:ascii="Times New Roman" w:hAnsi="Times New Roman" w:cs="Times New Roman"/>
          <w:color w:val="212121"/>
          <w:sz w:val="24"/>
          <w:szCs w:val="24"/>
          <w:lang w:val="en-GB"/>
        </w:rPr>
        <w:t>s</w:t>
      </w:r>
      <w:r w:rsidR="00A41D71" w:rsidRPr="00AA024C">
        <w:rPr>
          <w:rFonts w:ascii="Times New Roman" w:hAnsi="Times New Roman" w:cs="Times New Roman"/>
          <w:color w:val="212121"/>
          <w:sz w:val="24"/>
          <w:szCs w:val="24"/>
          <w:lang w:val="en-GB"/>
        </w:rPr>
        <w:t xml:space="preserve"> </w:t>
      </w:r>
      <w:r w:rsidR="00F96D28" w:rsidRPr="00AA024C">
        <w:rPr>
          <w:rFonts w:ascii="Times New Roman" w:hAnsi="Times New Roman" w:cs="Times New Roman"/>
          <w:color w:val="212121"/>
          <w:sz w:val="24"/>
          <w:szCs w:val="24"/>
          <w:lang w:val="en-GB"/>
        </w:rPr>
        <w:t xml:space="preserve">in </w:t>
      </w:r>
      <w:r w:rsidR="00A41D71" w:rsidRPr="00AA024C">
        <w:rPr>
          <w:rFonts w:ascii="Times New Roman" w:hAnsi="Times New Roman" w:cs="Times New Roman"/>
          <w:color w:val="212121"/>
          <w:sz w:val="24"/>
          <w:szCs w:val="24"/>
          <w:lang w:val="en-GB"/>
        </w:rPr>
        <w:t>the</w:t>
      </w:r>
      <w:r w:rsidR="00214E57" w:rsidRPr="00AA024C">
        <w:rPr>
          <w:rFonts w:ascii="Times New Roman" w:hAnsi="Times New Roman" w:cs="Times New Roman"/>
          <w:color w:val="212121"/>
          <w:sz w:val="24"/>
          <w:szCs w:val="24"/>
          <w:lang w:val="en-GB"/>
        </w:rPr>
        <w:t xml:space="preserve"> official procurement</w:t>
      </w:r>
      <w:r w:rsidR="00A41D71" w:rsidRPr="00AA024C">
        <w:rPr>
          <w:rFonts w:ascii="Times New Roman" w:hAnsi="Times New Roman" w:cs="Times New Roman"/>
          <w:color w:val="212121"/>
          <w:sz w:val="24"/>
          <w:szCs w:val="24"/>
          <w:lang w:val="en-GB"/>
        </w:rPr>
        <w:t xml:space="preserve"> </w:t>
      </w:r>
      <w:r w:rsidR="00F96D28" w:rsidRPr="00AA024C">
        <w:rPr>
          <w:rFonts w:ascii="Times New Roman" w:hAnsi="Times New Roman" w:cs="Times New Roman"/>
          <w:color w:val="212121"/>
          <w:sz w:val="24"/>
          <w:szCs w:val="24"/>
          <w:lang w:val="en-GB"/>
        </w:rPr>
        <w:t>bulletin</w:t>
      </w:r>
      <w:r w:rsidR="00CF3101" w:rsidRPr="00AA024C">
        <w:rPr>
          <w:rFonts w:ascii="Times New Roman" w:hAnsi="Times New Roman" w:cs="Times New Roman"/>
          <w:color w:val="212121"/>
          <w:sz w:val="24"/>
          <w:szCs w:val="24"/>
          <w:lang w:val="en-GB"/>
        </w:rPr>
        <w:t xml:space="preserve"> (</w:t>
      </w:r>
      <w:hyperlink r:id="rId6" w:history="1">
        <w:r w:rsidR="007F3736" w:rsidRPr="00AA024C">
          <w:rPr>
            <w:rStyle w:val="Hyperlink"/>
            <w:rFonts w:ascii="Times New Roman" w:hAnsi="Times New Roman" w:cs="Times New Roman"/>
            <w:sz w:val="24"/>
            <w:szCs w:val="24"/>
            <w:lang w:val="en-GB"/>
          </w:rPr>
          <w:t>www.gnumner.am</w:t>
        </w:r>
      </w:hyperlink>
      <w:r w:rsidR="00207B75">
        <w:rPr>
          <w:rStyle w:val="Hyperlink"/>
          <w:rFonts w:ascii="Times New Roman" w:hAnsi="Times New Roman" w:cs="Times New Roman"/>
          <w:sz w:val="24"/>
          <w:szCs w:val="24"/>
          <w:lang w:val="en-GB"/>
        </w:rPr>
        <w:t xml:space="preserve">) and </w:t>
      </w:r>
      <w:r w:rsidR="009C51C9" w:rsidRPr="00ED763B">
        <w:rPr>
          <w:rStyle w:val="Hyperlink"/>
          <w:rFonts w:ascii="Times New Roman" w:hAnsi="Times New Roman" w:cs="Times New Roman"/>
          <w:sz w:val="24"/>
          <w:szCs w:val="24"/>
          <w:lang w:val="en-GB"/>
        </w:rPr>
        <w:t>on</w:t>
      </w:r>
      <w:r w:rsidR="00207B75" w:rsidRPr="000B4398">
        <w:rPr>
          <w:rStyle w:val="Hyperlink"/>
          <w:rFonts w:ascii="Times New Roman" w:hAnsi="Times New Roman" w:cs="Times New Roman"/>
          <w:sz w:val="24"/>
          <w:szCs w:val="24"/>
          <w:lang w:val="en-GB"/>
        </w:rPr>
        <w:t xml:space="preserve"> the</w:t>
      </w:r>
      <w:r w:rsidR="00207B75">
        <w:rPr>
          <w:rStyle w:val="Hyperlink"/>
          <w:rFonts w:ascii="Times New Roman" w:hAnsi="Times New Roman" w:cs="Times New Roman"/>
          <w:sz w:val="24"/>
          <w:szCs w:val="24"/>
          <w:lang w:val="en-GB"/>
        </w:rPr>
        <w:t xml:space="preserve"> website of the State Committee of Water Economy</w:t>
      </w:r>
      <w:r w:rsidR="00CF3101" w:rsidRPr="00AA024C">
        <w:rPr>
          <w:rFonts w:ascii="Times New Roman" w:hAnsi="Times New Roman" w:cs="Times New Roman"/>
          <w:color w:val="212121"/>
          <w:sz w:val="24"/>
          <w:szCs w:val="24"/>
          <w:lang w:val="en-GB"/>
        </w:rPr>
        <w:t xml:space="preserve"> </w:t>
      </w:r>
      <w:r w:rsidR="009C51C9">
        <w:rPr>
          <w:rFonts w:ascii="Times New Roman" w:hAnsi="Times New Roman" w:cs="Times New Roman"/>
          <w:color w:val="212121"/>
          <w:sz w:val="24"/>
          <w:szCs w:val="24"/>
          <w:lang w:val="en-GB"/>
        </w:rPr>
        <w:t>(</w:t>
      </w:r>
      <w:hyperlink r:id="rId7" w:history="1">
        <w:r w:rsidR="007F3736" w:rsidRPr="00AA024C">
          <w:rPr>
            <w:rStyle w:val="Hyperlink"/>
            <w:rFonts w:ascii="Times New Roman" w:hAnsi="Times New Roman" w:cs="Times New Roman"/>
            <w:sz w:val="24"/>
            <w:szCs w:val="24"/>
            <w:lang w:val="en-GB"/>
          </w:rPr>
          <w:t>www.scws.am</w:t>
        </w:r>
      </w:hyperlink>
      <w:r w:rsidR="009C51C9">
        <w:rPr>
          <w:rStyle w:val="Hyperlink"/>
          <w:rFonts w:ascii="Times New Roman" w:hAnsi="Times New Roman" w:cs="Times New Roman"/>
          <w:sz w:val="24"/>
          <w:szCs w:val="24"/>
          <w:lang w:val="en-GB"/>
        </w:rPr>
        <w:t>)</w:t>
      </w:r>
      <w:r w:rsidR="00F96D28" w:rsidRPr="00AA024C">
        <w:rPr>
          <w:rFonts w:ascii="Times New Roman" w:hAnsi="Times New Roman" w:cs="Times New Roman"/>
          <w:color w:val="212121"/>
          <w:sz w:val="24"/>
          <w:szCs w:val="24"/>
          <w:lang w:val="en-GB"/>
        </w:rPr>
        <w:t>,</w:t>
      </w:r>
      <w:r w:rsidR="00E6060E" w:rsidRPr="00AA024C">
        <w:rPr>
          <w:rFonts w:ascii="Times New Roman" w:hAnsi="Times New Roman" w:cs="Times New Roman"/>
          <w:color w:val="212121"/>
          <w:sz w:val="24"/>
          <w:szCs w:val="24"/>
          <w:lang w:val="en-GB"/>
        </w:rPr>
        <w:t xml:space="preserve"> </w:t>
      </w:r>
      <w:r w:rsidR="00CF3101" w:rsidRPr="00AA024C">
        <w:rPr>
          <w:rFonts w:ascii="Times New Roman" w:hAnsi="Times New Roman" w:cs="Times New Roman"/>
          <w:color w:val="212121"/>
          <w:sz w:val="24"/>
          <w:szCs w:val="24"/>
          <w:lang w:val="en-GB"/>
        </w:rPr>
        <w:t xml:space="preserve">without disclosing the data on the inquirer. </w:t>
      </w:r>
      <w:r w:rsidR="00A07DDB" w:rsidRPr="00AA024C">
        <w:rPr>
          <w:rFonts w:ascii="Times New Roman" w:hAnsi="Times New Roman" w:cs="Times New Roman"/>
          <w:color w:val="212121"/>
          <w:sz w:val="24"/>
          <w:szCs w:val="24"/>
          <w:lang w:val="en-GB"/>
        </w:rPr>
        <w:t>In case of providing information t</w:t>
      </w:r>
      <w:r w:rsidR="00A41D71" w:rsidRPr="00AA024C">
        <w:rPr>
          <w:rFonts w:ascii="Times New Roman" w:hAnsi="Times New Roman" w:cs="Times New Roman"/>
          <w:color w:val="212121"/>
          <w:sz w:val="24"/>
          <w:szCs w:val="24"/>
          <w:lang w:val="en-GB"/>
        </w:rPr>
        <w:t xml:space="preserve">o </w:t>
      </w:r>
      <w:r w:rsidR="00A07DDB" w:rsidRPr="00AA024C">
        <w:rPr>
          <w:rFonts w:ascii="Times New Roman" w:hAnsi="Times New Roman" w:cs="Times New Roman"/>
          <w:color w:val="212121"/>
          <w:sz w:val="24"/>
          <w:szCs w:val="24"/>
          <w:lang w:val="en-GB"/>
        </w:rPr>
        <w:t xml:space="preserve">any </w:t>
      </w:r>
      <w:r w:rsidR="00E74E3E">
        <w:rPr>
          <w:rFonts w:ascii="Times New Roman" w:hAnsi="Times New Roman" w:cs="Times New Roman"/>
          <w:color w:val="212121"/>
          <w:sz w:val="24"/>
          <w:szCs w:val="24"/>
          <w:lang w:val="en-GB"/>
        </w:rPr>
        <w:t xml:space="preserve">potential </w:t>
      </w:r>
      <w:r w:rsidR="00A07DDB" w:rsidRPr="00AA024C">
        <w:rPr>
          <w:rFonts w:ascii="Times New Roman" w:hAnsi="Times New Roman" w:cs="Times New Roman"/>
          <w:color w:val="212121"/>
          <w:sz w:val="24"/>
          <w:szCs w:val="24"/>
          <w:lang w:val="en-GB"/>
        </w:rPr>
        <w:t xml:space="preserve">bidder, </w:t>
      </w:r>
      <w:r w:rsidR="00A41D71" w:rsidRPr="00AA024C">
        <w:rPr>
          <w:rFonts w:ascii="Times New Roman" w:hAnsi="Times New Roman" w:cs="Times New Roman"/>
          <w:color w:val="212121"/>
          <w:sz w:val="24"/>
          <w:szCs w:val="24"/>
          <w:lang w:val="en-GB"/>
        </w:rPr>
        <w:t xml:space="preserve">the </w:t>
      </w:r>
      <w:r w:rsidR="00CF3101" w:rsidRPr="00AA024C">
        <w:rPr>
          <w:rFonts w:ascii="Times New Roman" w:hAnsi="Times New Roman" w:cs="Times New Roman"/>
          <w:color w:val="212121"/>
          <w:sz w:val="24"/>
          <w:szCs w:val="24"/>
          <w:lang w:val="en-GB"/>
        </w:rPr>
        <w:t>C</w:t>
      </w:r>
      <w:r w:rsidR="00A07DDB" w:rsidRPr="00AA024C">
        <w:rPr>
          <w:rFonts w:ascii="Times New Roman" w:hAnsi="Times New Roman" w:cs="Times New Roman"/>
          <w:color w:val="212121"/>
          <w:sz w:val="24"/>
          <w:szCs w:val="24"/>
          <w:lang w:val="en-GB"/>
        </w:rPr>
        <w:t>lient</w:t>
      </w:r>
      <w:r w:rsidR="00A41D71" w:rsidRPr="00AA024C">
        <w:rPr>
          <w:rFonts w:ascii="Times New Roman" w:hAnsi="Times New Roman" w:cs="Times New Roman"/>
          <w:color w:val="212121"/>
          <w:sz w:val="24"/>
          <w:szCs w:val="24"/>
          <w:lang w:val="en-GB"/>
        </w:rPr>
        <w:t xml:space="preserve"> </w:t>
      </w:r>
      <w:r w:rsidR="00E6060E" w:rsidRPr="00AA024C">
        <w:rPr>
          <w:rFonts w:ascii="Times New Roman" w:hAnsi="Times New Roman" w:cs="Times New Roman"/>
          <w:color w:val="212121"/>
          <w:sz w:val="24"/>
          <w:szCs w:val="24"/>
          <w:lang w:val="en-GB"/>
        </w:rPr>
        <w:t>shall</w:t>
      </w:r>
      <w:r w:rsidR="00A41D71" w:rsidRPr="00AA024C">
        <w:rPr>
          <w:rFonts w:ascii="Times New Roman" w:hAnsi="Times New Roman" w:cs="Times New Roman"/>
          <w:color w:val="212121"/>
          <w:sz w:val="24"/>
          <w:szCs w:val="24"/>
          <w:lang w:val="en-GB"/>
        </w:rPr>
        <w:t xml:space="preserve"> ensure </w:t>
      </w:r>
      <w:r w:rsidR="00A07DDB" w:rsidRPr="00AA024C">
        <w:rPr>
          <w:rFonts w:ascii="Times New Roman" w:hAnsi="Times New Roman" w:cs="Times New Roman"/>
          <w:color w:val="212121"/>
          <w:sz w:val="24"/>
          <w:szCs w:val="24"/>
          <w:lang w:val="en-GB"/>
        </w:rPr>
        <w:t xml:space="preserve">the availability of </w:t>
      </w:r>
      <w:r w:rsidR="00A41D71" w:rsidRPr="00AA024C">
        <w:rPr>
          <w:rFonts w:ascii="Times New Roman" w:hAnsi="Times New Roman" w:cs="Times New Roman"/>
          <w:color w:val="212121"/>
          <w:sz w:val="24"/>
          <w:szCs w:val="24"/>
          <w:lang w:val="en-GB"/>
        </w:rPr>
        <w:t xml:space="preserve">that information to all potential </w:t>
      </w:r>
      <w:r w:rsidR="00A07DDB" w:rsidRPr="00AA024C">
        <w:rPr>
          <w:rFonts w:ascii="Times New Roman" w:hAnsi="Times New Roman" w:cs="Times New Roman"/>
          <w:color w:val="212121"/>
          <w:sz w:val="24"/>
          <w:szCs w:val="24"/>
          <w:lang w:val="en-GB"/>
        </w:rPr>
        <w:t>bidders</w:t>
      </w:r>
      <w:r w:rsidR="00A41D71" w:rsidRPr="00AA024C">
        <w:rPr>
          <w:rFonts w:ascii="Times New Roman" w:hAnsi="Times New Roman" w:cs="Times New Roman"/>
          <w:color w:val="212121"/>
          <w:sz w:val="24"/>
          <w:szCs w:val="24"/>
          <w:lang w:val="en-GB"/>
        </w:rPr>
        <w:t>.</w:t>
      </w:r>
    </w:p>
    <w:p w:rsidR="00CF3101" w:rsidRPr="00AA024C" w:rsidRDefault="00CF3101" w:rsidP="00AF09B1">
      <w:pPr>
        <w:pStyle w:val="HTMLPreformatted"/>
        <w:shd w:val="clear" w:color="auto" w:fill="FFFFFF"/>
        <w:ind w:firstLine="709"/>
        <w:jc w:val="both"/>
        <w:rPr>
          <w:rFonts w:ascii="Times New Roman" w:hAnsi="Times New Roman" w:cs="Times New Roman"/>
          <w:color w:val="212121"/>
          <w:sz w:val="24"/>
          <w:szCs w:val="24"/>
          <w:lang w:val="en-GB"/>
        </w:rPr>
      </w:pPr>
    </w:p>
    <w:p w:rsidR="00414A7B" w:rsidRPr="00AA024C" w:rsidRDefault="00CF3101" w:rsidP="00AA4777">
      <w:pPr>
        <w:pStyle w:val="HTMLPreformatted"/>
        <w:numPr>
          <w:ilvl w:val="0"/>
          <w:numId w:val="15"/>
        </w:numPr>
        <w:shd w:val="clear" w:color="auto" w:fill="FFFFFF"/>
        <w:tabs>
          <w:tab w:val="clear" w:pos="916"/>
          <w:tab w:val="left" w:pos="709"/>
        </w:tabs>
        <w:ind w:left="142" w:firstLine="0"/>
        <w:jc w:val="both"/>
        <w:rPr>
          <w:rFonts w:ascii="Times New Roman" w:hAnsi="Times New Roman" w:cs="Times New Roman"/>
          <w:color w:val="212121"/>
          <w:sz w:val="24"/>
          <w:szCs w:val="24"/>
          <w:lang w:val="en-GB"/>
        </w:rPr>
      </w:pPr>
      <w:r w:rsidRPr="00AA4777">
        <w:rPr>
          <w:rFonts w:ascii="Times New Roman" w:hAnsi="Times New Roman" w:cs="Times New Roman"/>
          <w:color w:val="212121"/>
          <w:sz w:val="24"/>
          <w:szCs w:val="24"/>
          <w:lang w:val="en-GB"/>
        </w:rPr>
        <w:t>The</w:t>
      </w:r>
      <w:r w:rsidRPr="00AA024C">
        <w:rPr>
          <w:rFonts w:ascii="Times New Roman" w:hAnsi="Times New Roman" w:cs="Times New Roman"/>
          <w:iCs/>
          <w:sz w:val="24"/>
          <w:szCs w:val="24"/>
          <w:lang w:val="en-GB"/>
        </w:rPr>
        <w:t xml:space="preserve"> bidders included in the list of pre-qualified bidders are eligible to participate further in the procurement process.</w:t>
      </w:r>
    </w:p>
    <w:p w:rsidR="00655B57" w:rsidRPr="00AA024C" w:rsidRDefault="00655B57" w:rsidP="00AA4777">
      <w:pPr>
        <w:pStyle w:val="BodyTextIndent"/>
        <w:spacing w:line="240" w:lineRule="auto"/>
        <w:ind w:firstLine="0"/>
        <w:rPr>
          <w:rFonts w:ascii="Times New Roman" w:hAnsi="Times New Roman"/>
          <w:color w:val="212121"/>
          <w:sz w:val="24"/>
          <w:szCs w:val="24"/>
          <w:lang w:val="en-GB"/>
        </w:rPr>
      </w:pPr>
    </w:p>
    <w:p w:rsidR="00655B57" w:rsidRPr="00AA4777" w:rsidRDefault="00BE4BF1" w:rsidP="00AA4777">
      <w:pPr>
        <w:pStyle w:val="HTMLPreformatted"/>
        <w:numPr>
          <w:ilvl w:val="0"/>
          <w:numId w:val="15"/>
        </w:numPr>
        <w:shd w:val="clear" w:color="auto" w:fill="FFFFFF"/>
        <w:tabs>
          <w:tab w:val="clear" w:pos="916"/>
          <w:tab w:val="left" w:pos="709"/>
        </w:tabs>
        <w:ind w:left="142" w:firstLine="0"/>
        <w:jc w:val="both"/>
        <w:rPr>
          <w:lang w:val="en-US"/>
        </w:rPr>
      </w:pPr>
      <w:r w:rsidRPr="00AA4777">
        <w:rPr>
          <w:rFonts w:ascii="Times New Roman" w:hAnsi="Times New Roman" w:cs="Times New Roman"/>
          <w:sz w:val="24"/>
          <w:szCs w:val="24"/>
          <w:lang w:val="en-US"/>
        </w:rPr>
        <w:t>T</w:t>
      </w:r>
      <w:r w:rsidR="006A7D92" w:rsidRPr="00AA4777">
        <w:rPr>
          <w:rFonts w:ascii="Times New Roman" w:hAnsi="Times New Roman" w:cs="Times New Roman"/>
          <w:sz w:val="24"/>
          <w:szCs w:val="24"/>
          <w:lang w:val="en-US"/>
        </w:rPr>
        <w:t xml:space="preserve">he </w:t>
      </w:r>
      <w:r w:rsidRPr="00AA4777">
        <w:rPr>
          <w:rFonts w:ascii="Times New Roman" w:hAnsi="Times New Roman" w:cs="Times New Roman"/>
          <w:color w:val="212121"/>
          <w:sz w:val="24"/>
          <w:szCs w:val="24"/>
          <w:lang w:val="en-GB"/>
        </w:rPr>
        <w:t>bidder</w:t>
      </w:r>
      <w:r w:rsidRPr="00AA4777">
        <w:rPr>
          <w:rFonts w:ascii="Times New Roman" w:hAnsi="Times New Roman" w:cs="Times New Roman"/>
          <w:sz w:val="24"/>
          <w:szCs w:val="24"/>
          <w:lang w:val="en-US"/>
        </w:rPr>
        <w:t xml:space="preserve"> has to comply with the following </w:t>
      </w:r>
      <w:r w:rsidR="009A52C4" w:rsidRPr="00AA4777">
        <w:rPr>
          <w:rFonts w:ascii="Times New Roman" w:hAnsi="Times New Roman" w:cs="Times New Roman"/>
          <w:sz w:val="24"/>
          <w:szCs w:val="24"/>
          <w:lang w:val="en-US"/>
        </w:rPr>
        <w:t xml:space="preserve">qualification </w:t>
      </w:r>
      <w:r w:rsidR="006A7D92" w:rsidRPr="00AA4777">
        <w:rPr>
          <w:rFonts w:ascii="Times New Roman" w:hAnsi="Times New Roman" w:cs="Times New Roman"/>
          <w:sz w:val="24"/>
          <w:szCs w:val="24"/>
          <w:lang w:val="en-US"/>
        </w:rPr>
        <w:t>requirements</w:t>
      </w:r>
      <w:r w:rsidRPr="00AA4777">
        <w:rPr>
          <w:rFonts w:ascii="Times New Roman" w:hAnsi="Times New Roman" w:cs="Times New Roman"/>
          <w:sz w:val="24"/>
          <w:szCs w:val="24"/>
          <w:lang w:val="en-US"/>
        </w:rPr>
        <w:t>:</w:t>
      </w:r>
    </w:p>
    <w:p w:rsidR="00FB1557" w:rsidRPr="00AA024C" w:rsidRDefault="009A52C4" w:rsidP="00AF09B1">
      <w:pPr>
        <w:autoSpaceDE w:val="0"/>
        <w:autoSpaceDN w:val="0"/>
        <w:adjustRightInd w:val="0"/>
        <w:ind w:firstLine="708"/>
        <w:jc w:val="both"/>
      </w:pPr>
      <w:r w:rsidRPr="00AA024C">
        <w:t xml:space="preserve"> </w:t>
      </w:r>
    </w:p>
    <w:p w:rsidR="00655B57" w:rsidRPr="00AA024C" w:rsidRDefault="00655B57" w:rsidP="00AA4777">
      <w:pPr>
        <w:autoSpaceDE w:val="0"/>
        <w:autoSpaceDN w:val="0"/>
        <w:adjustRightInd w:val="0"/>
        <w:ind w:left="708"/>
        <w:jc w:val="both"/>
      </w:pPr>
      <w:r w:rsidRPr="00AA024C">
        <w:t xml:space="preserve">1) </w:t>
      </w:r>
      <w:r w:rsidR="005F0F0B" w:rsidRPr="00AA024C">
        <w:t>Compliance of professional activity with the activities envisaged by the Contract:</w:t>
      </w:r>
    </w:p>
    <w:p w:rsidR="00655B57" w:rsidRPr="00AA024C" w:rsidRDefault="00655B57" w:rsidP="00655B57">
      <w:pPr>
        <w:autoSpaceDE w:val="0"/>
        <w:autoSpaceDN w:val="0"/>
        <w:adjustRightInd w:val="0"/>
        <w:ind w:firstLine="708"/>
        <w:jc w:val="both"/>
      </w:pPr>
    </w:p>
    <w:p w:rsidR="009A52C4" w:rsidRPr="00AA024C" w:rsidRDefault="009A52C4" w:rsidP="00AA4777">
      <w:pPr>
        <w:pStyle w:val="ListParagraph"/>
        <w:numPr>
          <w:ilvl w:val="0"/>
          <w:numId w:val="7"/>
        </w:numPr>
        <w:autoSpaceDE w:val="0"/>
        <w:autoSpaceDN w:val="0"/>
        <w:adjustRightInd w:val="0"/>
        <w:spacing w:after="0" w:line="240" w:lineRule="auto"/>
        <w:jc w:val="both"/>
        <w:rPr>
          <w:rFonts w:ascii="Times New Roman" w:hAnsi="Times New Roman"/>
          <w:sz w:val="24"/>
          <w:szCs w:val="24"/>
          <w:lang w:val="en-GB"/>
        </w:rPr>
      </w:pPr>
      <w:r w:rsidRPr="00AA024C">
        <w:rPr>
          <w:rFonts w:ascii="Times New Roman" w:hAnsi="Times New Roman"/>
          <w:sz w:val="24"/>
          <w:szCs w:val="24"/>
          <w:lang w:val="en-GB"/>
        </w:rPr>
        <w:t xml:space="preserve">For a period of not less than 5 years during the 15 year period prior to the </w:t>
      </w:r>
      <w:r w:rsidR="005F0F0B" w:rsidRPr="00AA024C">
        <w:rPr>
          <w:rFonts w:ascii="Times New Roman" w:hAnsi="Times New Roman"/>
          <w:sz w:val="24"/>
          <w:szCs w:val="24"/>
          <w:lang w:val="en-GB"/>
        </w:rPr>
        <w:t xml:space="preserve">publication </w:t>
      </w:r>
      <w:r w:rsidRPr="00AA024C">
        <w:rPr>
          <w:rFonts w:ascii="Times New Roman" w:hAnsi="Times New Roman"/>
          <w:sz w:val="24"/>
          <w:szCs w:val="24"/>
          <w:lang w:val="en-GB"/>
        </w:rPr>
        <w:t xml:space="preserve">of this </w:t>
      </w:r>
      <w:r w:rsidR="00245C41" w:rsidRPr="00AA024C">
        <w:rPr>
          <w:rFonts w:ascii="Times New Roman" w:hAnsi="Times New Roman"/>
          <w:color w:val="212121"/>
          <w:sz w:val="24"/>
          <w:szCs w:val="24"/>
          <w:lang w:val="en-GB"/>
        </w:rPr>
        <w:t>announcement</w:t>
      </w:r>
      <w:r w:rsidRPr="00AA024C">
        <w:rPr>
          <w:rFonts w:ascii="Times New Roman" w:hAnsi="Times New Roman"/>
          <w:sz w:val="24"/>
          <w:szCs w:val="24"/>
          <w:lang w:val="en-GB"/>
        </w:rPr>
        <w:t>,</w:t>
      </w:r>
      <w:r w:rsidRPr="00AA024C">
        <w:rPr>
          <w:rFonts w:ascii="Times New Roman" w:hAnsi="Times New Roman"/>
          <w:color w:val="212121"/>
          <w:sz w:val="24"/>
          <w:szCs w:val="24"/>
          <w:lang w:val="en-GB"/>
        </w:rPr>
        <w:t xml:space="preserve"> should</w:t>
      </w:r>
      <w:r w:rsidR="005F0F0B" w:rsidRPr="00AA024C">
        <w:rPr>
          <w:rFonts w:ascii="Times New Roman" w:hAnsi="Times New Roman"/>
          <w:color w:val="212121"/>
          <w:sz w:val="24"/>
          <w:szCs w:val="24"/>
          <w:lang w:val="en-GB"/>
        </w:rPr>
        <w:t xml:space="preserve"> individually (including as a member of </w:t>
      </w:r>
      <w:r w:rsidR="00E74E3E">
        <w:rPr>
          <w:rFonts w:ascii="Times New Roman" w:hAnsi="Times New Roman"/>
          <w:color w:val="212121"/>
          <w:sz w:val="24"/>
          <w:szCs w:val="24"/>
          <w:lang w:val="en-GB"/>
        </w:rPr>
        <w:t xml:space="preserve">a </w:t>
      </w:r>
      <w:r w:rsidR="005F0F0B" w:rsidRPr="00AA024C">
        <w:rPr>
          <w:rFonts w:ascii="Times New Roman" w:hAnsi="Times New Roman"/>
          <w:color w:val="212121"/>
          <w:sz w:val="24"/>
          <w:szCs w:val="24"/>
          <w:lang w:val="en-GB"/>
        </w:rPr>
        <w:t xml:space="preserve">consortium) or by its subsidiary or by a company with its 50 percent and more participation (including as a member of </w:t>
      </w:r>
      <w:r w:rsidR="00E74E3E">
        <w:rPr>
          <w:rFonts w:ascii="Times New Roman" w:hAnsi="Times New Roman"/>
          <w:color w:val="212121"/>
          <w:sz w:val="24"/>
          <w:szCs w:val="24"/>
          <w:lang w:val="en-GB"/>
        </w:rPr>
        <w:t xml:space="preserve">a </w:t>
      </w:r>
      <w:r w:rsidR="005F0F0B" w:rsidRPr="00AA024C">
        <w:rPr>
          <w:rFonts w:ascii="Times New Roman" w:hAnsi="Times New Roman"/>
          <w:color w:val="212121"/>
          <w:sz w:val="24"/>
          <w:szCs w:val="24"/>
          <w:lang w:val="en-GB"/>
        </w:rPr>
        <w:t>consortium)</w:t>
      </w:r>
      <w:r w:rsidRPr="00AA024C">
        <w:rPr>
          <w:rFonts w:ascii="Times New Roman" w:hAnsi="Times New Roman"/>
          <w:color w:val="212121"/>
          <w:sz w:val="24"/>
          <w:szCs w:val="24"/>
          <w:lang w:val="en-GB"/>
        </w:rPr>
        <w:t xml:space="preserve"> have implemented either: one water systems management, operation and maintenance project having no less than 5-year duration of providing water supply services to at least 600,000 people annually, or </w:t>
      </w:r>
      <w:r w:rsidRPr="00AA024C">
        <w:rPr>
          <w:rFonts w:ascii="Times New Roman" w:hAnsi="Times New Roman"/>
          <w:sz w:val="24"/>
          <w:szCs w:val="24"/>
          <w:lang w:val="en-GB"/>
        </w:rPr>
        <w:t xml:space="preserve">two or more water supply projects serving a combined total population of at least 800,000 </w:t>
      </w:r>
      <w:r w:rsidR="00280C16" w:rsidRPr="00AA024C">
        <w:rPr>
          <w:rFonts w:ascii="Times New Roman" w:hAnsi="Times New Roman"/>
          <w:sz w:val="24"/>
          <w:szCs w:val="24"/>
          <w:lang w:val="en-GB"/>
        </w:rPr>
        <w:t>(</w:t>
      </w:r>
      <w:r w:rsidRPr="00AA024C">
        <w:rPr>
          <w:rFonts w:ascii="Times New Roman" w:hAnsi="Times New Roman"/>
          <w:sz w:val="24"/>
          <w:szCs w:val="24"/>
          <w:lang w:val="en-GB"/>
        </w:rPr>
        <w:t>with at least one project named serving a population of more than 300,000</w:t>
      </w:r>
      <w:r w:rsidR="00280C16" w:rsidRPr="00AA024C">
        <w:rPr>
          <w:rFonts w:ascii="Times New Roman" w:hAnsi="Times New Roman"/>
          <w:sz w:val="24"/>
          <w:szCs w:val="24"/>
          <w:lang w:val="en-GB"/>
        </w:rPr>
        <w:t>),</w:t>
      </w:r>
    </w:p>
    <w:p w:rsidR="00CA70FA" w:rsidRPr="00AA4777" w:rsidRDefault="00CA70FA" w:rsidP="00AA4777">
      <w:pPr>
        <w:pStyle w:val="ListParagraph"/>
        <w:numPr>
          <w:ilvl w:val="0"/>
          <w:numId w:val="7"/>
        </w:numPr>
        <w:autoSpaceDE w:val="0"/>
        <w:autoSpaceDN w:val="0"/>
        <w:adjustRightInd w:val="0"/>
        <w:spacing w:after="0" w:line="240" w:lineRule="auto"/>
        <w:jc w:val="both"/>
        <w:rPr>
          <w:rFonts w:ascii="Times New Roman" w:hAnsi="Times New Roman"/>
          <w:color w:val="212121"/>
          <w:sz w:val="24"/>
          <w:szCs w:val="24"/>
          <w:lang w:val="en-GB"/>
        </w:rPr>
      </w:pPr>
      <w:r w:rsidRPr="00AA024C">
        <w:rPr>
          <w:rFonts w:ascii="Times New Roman" w:hAnsi="Times New Roman"/>
          <w:color w:val="212121"/>
          <w:sz w:val="24"/>
          <w:szCs w:val="24"/>
          <w:lang w:val="en-GB"/>
        </w:rPr>
        <w:t>During the</w:t>
      </w:r>
      <w:r w:rsidRPr="00AA024C">
        <w:rPr>
          <w:rFonts w:ascii="Times New Roman" w:hAnsi="Times New Roman"/>
          <w:sz w:val="24"/>
          <w:szCs w:val="24"/>
          <w:lang w:val="en-GB"/>
        </w:rPr>
        <w:t xml:space="preserve"> 15 year period prior to the publication of this announcement </w:t>
      </w:r>
      <w:r w:rsidRPr="00AA024C">
        <w:rPr>
          <w:rFonts w:ascii="Times New Roman" w:hAnsi="Times New Roman"/>
          <w:color w:val="212121"/>
          <w:sz w:val="24"/>
          <w:szCs w:val="24"/>
          <w:lang w:val="en-GB"/>
        </w:rPr>
        <w:t>s</w:t>
      </w:r>
      <w:r w:rsidR="00001277" w:rsidRPr="00AA024C">
        <w:rPr>
          <w:rFonts w:ascii="Times New Roman" w:hAnsi="Times New Roman"/>
          <w:color w:val="212121"/>
          <w:sz w:val="24"/>
          <w:szCs w:val="24"/>
          <w:lang w:val="en-GB"/>
        </w:rPr>
        <w:t>hould</w:t>
      </w:r>
      <w:r w:rsidRPr="00AA024C">
        <w:rPr>
          <w:rFonts w:ascii="Times New Roman" w:hAnsi="Times New Roman"/>
          <w:color w:val="212121"/>
          <w:sz w:val="24"/>
          <w:szCs w:val="24"/>
          <w:lang w:val="en-GB"/>
        </w:rPr>
        <w:t xml:space="preserve"> individually (including as a member of </w:t>
      </w:r>
      <w:r w:rsidR="00E74E3E">
        <w:rPr>
          <w:rFonts w:ascii="Times New Roman" w:hAnsi="Times New Roman"/>
          <w:color w:val="212121"/>
          <w:sz w:val="24"/>
          <w:szCs w:val="24"/>
          <w:lang w:val="en-GB"/>
        </w:rPr>
        <w:t xml:space="preserve">a </w:t>
      </w:r>
      <w:r w:rsidRPr="00AA024C">
        <w:rPr>
          <w:rFonts w:ascii="Times New Roman" w:hAnsi="Times New Roman"/>
          <w:color w:val="212121"/>
          <w:sz w:val="24"/>
          <w:szCs w:val="24"/>
          <w:lang w:val="en-GB"/>
        </w:rPr>
        <w:t xml:space="preserve">consortium) or by its subsidiary or by a company with its 50 percent and more participation (including as a member of </w:t>
      </w:r>
      <w:r w:rsidR="00E74E3E">
        <w:rPr>
          <w:rFonts w:ascii="Times New Roman" w:hAnsi="Times New Roman"/>
          <w:color w:val="212121"/>
          <w:sz w:val="24"/>
          <w:szCs w:val="24"/>
          <w:lang w:val="en-GB"/>
        </w:rPr>
        <w:t xml:space="preserve">a </w:t>
      </w:r>
      <w:r w:rsidRPr="00AA024C">
        <w:rPr>
          <w:rFonts w:ascii="Times New Roman" w:hAnsi="Times New Roman"/>
          <w:color w:val="212121"/>
          <w:sz w:val="24"/>
          <w:szCs w:val="24"/>
          <w:lang w:val="en-GB"/>
        </w:rPr>
        <w:t xml:space="preserve">consortium) </w:t>
      </w:r>
      <w:r w:rsidR="00001277" w:rsidRPr="00AA024C">
        <w:rPr>
          <w:rFonts w:ascii="Times New Roman" w:hAnsi="Times New Roman"/>
          <w:color w:val="212121"/>
          <w:sz w:val="24"/>
          <w:szCs w:val="24"/>
          <w:lang w:val="en-GB"/>
        </w:rPr>
        <w:t>have water systems management, operation and maintenance project</w:t>
      </w:r>
      <w:r w:rsidRPr="00AA024C">
        <w:rPr>
          <w:rFonts w:ascii="Times New Roman" w:hAnsi="Times New Roman"/>
          <w:color w:val="212121"/>
          <w:sz w:val="24"/>
          <w:szCs w:val="24"/>
          <w:lang w:val="en-GB"/>
        </w:rPr>
        <w:t>s</w:t>
      </w:r>
      <w:r w:rsidR="00001277" w:rsidRPr="00AA024C">
        <w:rPr>
          <w:rFonts w:ascii="Times New Roman" w:hAnsi="Times New Roman"/>
          <w:color w:val="212121"/>
          <w:sz w:val="24"/>
          <w:szCs w:val="24"/>
          <w:lang w:val="en-GB"/>
        </w:rPr>
        <w:t xml:space="preserve"> providing service in at least three different countries</w:t>
      </w:r>
      <w:r w:rsidRPr="00AA024C">
        <w:rPr>
          <w:rFonts w:ascii="Times New Roman" w:hAnsi="Times New Roman"/>
          <w:sz w:val="24"/>
          <w:szCs w:val="24"/>
          <w:lang w:val="en-GB"/>
        </w:rPr>
        <w:t>.</w:t>
      </w:r>
    </w:p>
    <w:p w:rsidR="006204F6" w:rsidRPr="00AA024C" w:rsidRDefault="006204F6" w:rsidP="00AA4777">
      <w:pPr>
        <w:pStyle w:val="ListParagraph"/>
        <w:autoSpaceDE w:val="0"/>
        <w:autoSpaceDN w:val="0"/>
        <w:adjustRightInd w:val="0"/>
        <w:spacing w:after="0" w:line="240" w:lineRule="auto"/>
        <w:ind w:left="1068"/>
        <w:jc w:val="both"/>
        <w:rPr>
          <w:rFonts w:ascii="Times New Roman" w:hAnsi="Times New Roman"/>
          <w:color w:val="212121"/>
          <w:sz w:val="24"/>
          <w:szCs w:val="24"/>
          <w:lang w:val="en-GB"/>
        </w:rPr>
      </w:pPr>
    </w:p>
    <w:p w:rsidR="00CA70FA" w:rsidRPr="00AA024C" w:rsidRDefault="00CA70FA" w:rsidP="00CA70FA">
      <w:pPr>
        <w:autoSpaceDE w:val="0"/>
        <w:autoSpaceDN w:val="0"/>
        <w:adjustRightInd w:val="0"/>
        <w:ind w:left="708"/>
        <w:jc w:val="both"/>
      </w:pPr>
      <w:r w:rsidRPr="00AA024C">
        <w:t>2) Professional experience:</w:t>
      </w:r>
    </w:p>
    <w:p w:rsidR="00CA70FA" w:rsidRPr="00AA4777" w:rsidRDefault="00CA70FA" w:rsidP="00AA4777">
      <w:pPr>
        <w:autoSpaceDE w:val="0"/>
        <w:autoSpaceDN w:val="0"/>
        <w:adjustRightInd w:val="0"/>
        <w:jc w:val="both"/>
        <w:rPr>
          <w:color w:val="212121"/>
        </w:rPr>
      </w:pPr>
    </w:p>
    <w:p w:rsidR="00001277" w:rsidRPr="00AA4777" w:rsidRDefault="00001277" w:rsidP="00AA4777">
      <w:pPr>
        <w:pStyle w:val="ListParagraph"/>
        <w:numPr>
          <w:ilvl w:val="0"/>
          <w:numId w:val="9"/>
        </w:numPr>
        <w:autoSpaceDE w:val="0"/>
        <w:autoSpaceDN w:val="0"/>
        <w:adjustRightInd w:val="0"/>
        <w:jc w:val="both"/>
        <w:rPr>
          <w:rFonts w:ascii="Times New Roman" w:hAnsi="Times New Roman"/>
          <w:color w:val="212121"/>
          <w:sz w:val="24"/>
          <w:szCs w:val="24"/>
          <w:lang w:val="en-GB"/>
        </w:rPr>
      </w:pPr>
      <w:r w:rsidRPr="00AA4777">
        <w:rPr>
          <w:rFonts w:ascii="Times New Roman" w:hAnsi="Times New Roman"/>
          <w:color w:val="212121"/>
          <w:sz w:val="24"/>
          <w:szCs w:val="24"/>
          <w:lang w:val="en-GB"/>
        </w:rPr>
        <w:t>Should</w:t>
      </w:r>
      <w:r w:rsidR="00CA70FA" w:rsidRPr="00AA4777">
        <w:rPr>
          <w:rFonts w:ascii="Times New Roman" w:hAnsi="Times New Roman"/>
          <w:color w:val="212121"/>
          <w:sz w:val="24"/>
          <w:szCs w:val="24"/>
          <w:lang w:val="en-GB"/>
        </w:rPr>
        <w:t xml:space="preserve"> individually (including as a member of </w:t>
      </w:r>
      <w:r w:rsidR="00E74E3E">
        <w:rPr>
          <w:rFonts w:ascii="Times New Roman" w:hAnsi="Times New Roman"/>
          <w:color w:val="212121"/>
          <w:sz w:val="24"/>
          <w:szCs w:val="24"/>
          <w:lang w:val="en-GB"/>
        </w:rPr>
        <w:t xml:space="preserve">a </w:t>
      </w:r>
      <w:r w:rsidR="00CA70FA" w:rsidRPr="00AA4777">
        <w:rPr>
          <w:rFonts w:ascii="Times New Roman" w:hAnsi="Times New Roman"/>
          <w:color w:val="212121"/>
          <w:sz w:val="24"/>
          <w:szCs w:val="24"/>
          <w:lang w:val="en-GB"/>
        </w:rPr>
        <w:t xml:space="preserve">consortium) or by its subsidiary or by a company with its 50 percent and more participation (including as a member of </w:t>
      </w:r>
      <w:r w:rsidR="00E74E3E">
        <w:rPr>
          <w:rFonts w:ascii="Times New Roman" w:hAnsi="Times New Roman"/>
          <w:color w:val="212121"/>
          <w:sz w:val="24"/>
          <w:szCs w:val="24"/>
          <w:lang w:val="en-GB"/>
        </w:rPr>
        <w:t xml:space="preserve">a </w:t>
      </w:r>
      <w:r w:rsidR="00CA70FA" w:rsidRPr="00AA4777">
        <w:rPr>
          <w:rFonts w:ascii="Times New Roman" w:hAnsi="Times New Roman"/>
          <w:color w:val="212121"/>
          <w:sz w:val="24"/>
          <w:szCs w:val="24"/>
          <w:lang w:val="en-GB"/>
        </w:rPr>
        <w:t>consortium)</w:t>
      </w:r>
      <w:r w:rsidRPr="00AA4777">
        <w:rPr>
          <w:rFonts w:ascii="Times New Roman" w:hAnsi="Times New Roman"/>
          <w:color w:val="212121"/>
          <w:sz w:val="24"/>
          <w:szCs w:val="24"/>
          <w:lang w:val="en-GB"/>
        </w:rPr>
        <w:t xml:space="preserve"> have performed reconstruction and </w:t>
      </w:r>
      <w:r w:rsidR="00AE16D7" w:rsidRPr="00AA4777">
        <w:rPr>
          <w:rFonts w:ascii="Times New Roman" w:hAnsi="Times New Roman"/>
          <w:color w:val="212121"/>
          <w:sz w:val="24"/>
          <w:szCs w:val="24"/>
          <w:lang w:val="en-GB"/>
        </w:rPr>
        <w:t xml:space="preserve">renovation </w:t>
      </w:r>
      <w:r w:rsidRPr="00AA4777">
        <w:rPr>
          <w:rFonts w:ascii="Times New Roman" w:hAnsi="Times New Roman"/>
          <w:color w:val="212121"/>
          <w:sz w:val="24"/>
          <w:szCs w:val="24"/>
          <w:lang w:val="en-GB"/>
        </w:rPr>
        <w:t>of water systems for at least three projects each costing not less than the equivalent of US</w:t>
      </w:r>
      <w:r w:rsidR="002807A9">
        <w:rPr>
          <w:rFonts w:ascii="Times New Roman" w:hAnsi="Times New Roman"/>
          <w:color w:val="212121"/>
          <w:sz w:val="24"/>
          <w:szCs w:val="24"/>
          <w:lang w:val="en-GB"/>
        </w:rPr>
        <w:t>D</w:t>
      </w:r>
      <w:r w:rsidRPr="00AA4777">
        <w:rPr>
          <w:rFonts w:ascii="Times New Roman" w:hAnsi="Times New Roman"/>
          <w:color w:val="212121"/>
          <w:sz w:val="24"/>
          <w:szCs w:val="24"/>
          <w:lang w:val="en-GB"/>
        </w:rPr>
        <w:t xml:space="preserve"> 5</w:t>
      </w:r>
      <w:r w:rsidR="002807A9">
        <w:rPr>
          <w:rFonts w:ascii="Times New Roman" w:hAnsi="Times New Roman"/>
          <w:color w:val="212121"/>
          <w:sz w:val="24"/>
          <w:szCs w:val="24"/>
          <w:lang w:val="en-GB"/>
        </w:rPr>
        <w:t xml:space="preserve"> million </w:t>
      </w:r>
      <w:r w:rsidRPr="00AA4777">
        <w:rPr>
          <w:rFonts w:ascii="Times New Roman" w:hAnsi="Times New Roman"/>
          <w:color w:val="212121"/>
          <w:sz w:val="24"/>
          <w:szCs w:val="24"/>
          <w:lang w:val="en-GB"/>
        </w:rPr>
        <w:t xml:space="preserve">during </w:t>
      </w:r>
      <w:r w:rsidR="009737AA" w:rsidRPr="00AA4777">
        <w:rPr>
          <w:rFonts w:ascii="Times New Roman" w:hAnsi="Times New Roman"/>
          <w:sz w:val="24"/>
          <w:szCs w:val="24"/>
          <w:lang w:val="en-GB"/>
        </w:rPr>
        <w:t xml:space="preserve">the </w:t>
      </w:r>
      <w:r w:rsidR="00AB5353" w:rsidRPr="00AA4777">
        <w:rPr>
          <w:rFonts w:ascii="Times New Roman" w:hAnsi="Times New Roman"/>
          <w:sz w:val="24"/>
          <w:szCs w:val="24"/>
          <w:lang w:val="en-GB"/>
        </w:rPr>
        <w:t>15 year period</w:t>
      </w:r>
      <w:r w:rsidR="009737AA" w:rsidRPr="00AA4777">
        <w:rPr>
          <w:rFonts w:ascii="Times New Roman" w:hAnsi="Times New Roman"/>
          <w:sz w:val="24"/>
          <w:szCs w:val="24"/>
          <w:lang w:val="en-GB"/>
        </w:rPr>
        <w:t xml:space="preserve"> prior to the </w:t>
      </w:r>
      <w:r w:rsidR="00A15513" w:rsidRPr="00AA024C">
        <w:rPr>
          <w:rFonts w:ascii="Times New Roman" w:hAnsi="Times New Roman"/>
          <w:sz w:val="24"/>
          <w:szCs w:val="24"/>
          <w:lang w:val="en-GB"/>
        </w:rPr>
        <w:t>publication</w:t>
      </w:r>
      <w:r w:rsidR="00A15513" w:rsidRPr="00AA4777">
        <w:rPr>
          <w:rFonts w:ascii="Times New Roman" w:hAnsi="Times New Roman"/>
          <w:sz w:val="24"/>
          <w:szCs w:val="24"/>
          <w:lang w:val="en-GB"/>
        </w:rPr>
        <w:t xml:space="preserve"> </w:t>
      </w:r>
      <w:r w:rsidR="009737AA" w:rsidRPr="00AA4777">
        <w:rPr>
          <w:rFonts w:ascii="Times New Roman" w:hAnsi="Times New Roman"/>
          <w:sz w:val="24"/>
          <w:szCs w:val="24"/>
          <w:lang w:val="en-GB"/>
        </w:rPr>
        <w:t xml:space="preserve">of this </w:t>
      </w:r>
      <w:r w:rsidR="00245C41" w:rsidRPr="00AA4777">
        <w:rPr>
          <w:rFonts w:ascii="Times New Roman" w:hAnsi="Times New Roman"/>
          <w:color w:val="212121"/>
          <w:sz w:val="24"/>
          <w:szCs w:val="24"/>
          <w:lang w:val="en-GB"/>
        </w:rPr>
        <w:t>announcement</w:t>
      </w:r>
      <w:r w:rsidR="00AB5353" w:rsidRPr="00AA4777">
        <w:rPr>
          <w:rFonts w:ascii="Times New Roman" w:hAnsi="Times New Roman"/>
          <w:sz w:val="24"/>
          <w:szCs w:val="24"/>
          <w:lang w:val="en-GB"/>
        </w:rPr>
        <w:t>,</w:t>
      </w:r>
    </w:p>
    <w:p w:rsidR="00A15513" w:rsidRPr="00AA4777" w:rsidRDefault="00A15513" w:rsidP="00AA4777">
      <w:pPr>
        <w:pStyle w:val="ListParagraph"/>
        <w:numPr>
          <w:ilvl w:val="0"/>
          <w:numId w:val="9"/>
        </w:numPr>
        <w:autoSpaceDE w:val="0"/>
        <w:autoSpaceDN w:val="0"/>
        <w:adjustRightInd w:val="0"/>
        <w:jc w:val="both"/>
        <w:rPr>
          <w:rFonts w:ascii="Times New Roman" w:hAnsi="Times New Roman"/>
          <w:sz w:val="24"/>
          <w:szCs w:val="24"/>
          <w:lang w:val="en-GB"/>
        </w:rPr>
      </w:pPr>
      <w:r w:rsidRPr="00AA024C">
        <w:rPr>
          <w:rFonts w:ascii="Times New Roman" w:hAnsi="Times New Roman"/>
          <w:sz w:val="24"/>
          <w:szCs w:val="24"/>
          <w:lang w:val="en-GB"/>
        </w:rPr>
        <w:t>D</w:t>
      </w:r>
      <w:r w:rsidRPr="00AA4777">
        <w:rPr>
          <w:rFonts w:ascii="Times New Roman" w:hAnsi="Times New Roman"/>
          <w:sz w:val="24"/>
          <w:szCs w:val="24"/>
          <w:lang w:val="en-GB"/>
        </w:rPr>
        <w:t xml:space="preserve">uring the 15 year period prior to the </w:t>
      </w:r>
      <w:r w:rsidRPr="00AA024C">
        <w:rPr>
          <w:rFonts w:ascii="Times New Roman" w:hAnsi="Times New Roman"/>
          <w:sz w:val="24"/>
          <w:szCs w:val="24"/>
          <w:lang w:val="en-GB"/>
        </w:rPr>
        <w:t>publication</w:t>
      </w:r>
      <w:r w:rsidRPr="00AA4777">
        <w:rPr>
          <w:rFonts w:ascii="Times New Roman" w:hAnsi="Times New Roman"/>
          <w:sz w:val="24"/>
          <w:szCs w:val="24"/>
          <w:lang w:val="en-GB"/>
        </w:rPr>
        <w:t xml:space="preserve"> of this </w:t>
      </w:r>
      <w:r w:rsidRPr="00AA024C">
        <w:rPr>
          <w:rFonts w:ascii="Times New Roman" w:hAnsi="Times New Roman"/>
          <w:sz w:val="24"/>
          <w:szCs w:val="24"/>
          <w:lang w:val="en-GB"/>
        </w:rPr>
        <w:t>announcement</w:t>
      </w:r>
      <w:r w:rsidRPr="00AA4777">
        <w:rPr>
          <w:rFonts w:ascii="Times New Roman" w:hAnsi="Times New Roman"/>
          <w:b/>
          <w:sz w:val="24"/>
          <w:szCs w:val="24"/>
          <w:lang w:val="en-GB"/>
        </w:rPr>
        <w:t xml:space="preserve"> </w:t>
      </w:r>
      <w:r w:rsidRPr="00AA4777">
        <w:rPr>
          <w:rFonts w:ascii="Times New Roman" w:hAnsi="Times New Roman"/>
          <w:color w:val="212121"/>
          <w:sz w:val="24"/>
          <w:szCs w:val="24"/>
          <w:lang w:val="en-GB"/>
        </w:rPr>
        <w:t>should</w:t>
      </w:r>
      <w:r w:rsidRPr="00AA024C">
        <w:rPr>
          <w:rFonts w:ascii="Times New Roman" w:hAnsi="Times New Roman"/>
          <w:color w:val="212121"/>
          <w:sz w:val="24"/>
          <w:szCs w:val="24"/>
          <w:lang w:val="en-GB"/>
        </w:rPr>
        <w:t xml:space="preserve"> individually (including as a member of </w:t>
      </w:r>
      <w:r w:rsidR="00E74E3E">
        <w:rPr>
          <w:rFonts w:ascii="Times New Roman" w:hAnsi="Times New Roman"/>
          <w:color w:val="212121"/>
          <w:sz w:val="24"/>
          <w:szCs w:val="24"/>
          <w:lang w:val="en-GB"/>
        </w:rPr>
        <w:t xml:space="preserve">a </w:t>
      </w:r>
      <w:r w:rsidRPr="00AA024C">
        <w:rPr>
          <w:rFonts w:ascii="Times New Roman" w:hAnsi="Times New Roman"/>
          <w:color w:val="212121"/>
          <w:sz w:val="24"/>
          <w:szCs w:val="24"/>
          <w:lang w:val="en-GB"/>
        </w:rPr>
        <w:t xml:space="preserve">consortium) or by its subsidiary or by a company with its 50 percent and more participation (including as a member of </w:t>
      </w:r>
      <w:r w:rsidR="00E74E3E">
        <w:rPr>
          <w:rFonts w:ascii="Times New Roman" w:hAnsi="Times New Roman"/>
          <w:color w:val="212121"/>
          <w:sz w:val="24"/>
          <w:szCs w:val="24"/>
          <w:lang w:val="en-GB"/>
        </w:rPr>
        <w:t xml:space="preserve">a </w:t>
      </w:r>
      <w:r w:rsidRPr="00AA024C">
        <w:rPr>
          <w:rFonts w:ascii="Times New Roman" w:hAnsi="Times New Roman"/>
          <w:color w:val="212121"/>
          <w:sz w:val="24"/>
          <w:szCs w:val="24"/>
          <w:lang w:val="en-GB"/>
        </w:rPr>
        <w:t>consortium</w:t>
      </w:r>
      <w:r w:rsidR="00466155" w:rsidRPr="00AA024C">
        <w:rPr>
          <w:rFonts w:ascii="Times New Roman" w:hAnsi="Times New Roman"/>
          <w:color w:val="212121"/>
          <w:sz w:val="24"/>
          <w:szCs w:val="24"/>
          <w:lang w:val="en-GB"/>
        </w:rPr>
        <w:t xml:space="preserve">) </w:t>
      </w:r>
      <w:r w:rsidR="00466155" w:rsidRPr="00AA4777">
        <w:rPr>
          <w:rFonts w:ascii="Times New Roman" w:hAnsi="Times New Roman"/>
          <w:color w:val="212121"/>
          <w:sz w:val="24"/>
          <w:szCs w:val="24"/>
          <w:lang w:val="en-GB"/>
        </w:rPr>
        <w:t>have</w:t>
      </w:r>
      <w:r w:rsidRPr="00AA024C">
        <w:rPr>
          <w:rFonts w:ascii="Times New Roman" w:hAnsi="Times New Roman"/>
          <w:color w:val="212121"/>
          <w:sz w:val="24"/>
          <w:szCs w:val="24"/>
          <w:lang w:val="en-GB"/>
        </w:rPr>
        <w:t xml:space="preserve"> implemented at least</w:t>
      </w:r>
      <w:r w:rsidRPr="00AA4777">
        <w:rPr>
          <w:rFonts w:ascii="Times New Roman" w:hAnsi="Times New Roman"/>
          <w:color w:val="212121"/>
          <w:sz w:val="24"/>
          <w:szCs w:val="24"/>
          <w:lang w:val="en-GB"/>
        </w:rPr>
        <w:t xml:space="preserve"> one </w:t>
      </w:r>
      <w:r w:rsidRPr="00AA4777">
        <w:rPr>
          <w:rFonts w:ascii="Times New Roman" w:hAnsi="Times New Roman"/>
          <w:sz w:val="24"/>
          <w:szCs w:val="24"/>
          <w:lang w:val="en-GB"/>
        </w:rPr>
        <w:t>project</w:t>
      </w:r>
      <w:r w:rsidRPr="00AA024C">
        <w:rPr>
          <w:rFonts w:ascii="Times New Roman" w:hAnsi="Times New Roman"/>
          <w:sz w:val="24"/>
          <w:szCs w:val="24"/>
          <w:lang w:val="en-GB"/>
        </w:rPr>
        <w:t xml:space="preserve"> </w:t>
      </w:r>
      <w:r w:rsidRPr="00AA4777">
        <w:rPr>
          <w:rFonts w:ascii="Times New Roman" w:hAnsi="Times New Roman"/>
          <w:sz w:val="24"/>
          <w:szCs w:val="24"/>
          <w:lang w:val="en-GB"/>
        </w:rPr>
        <w:t xml:space="preserve">of </w:t>
      </w:r>
      <w:r w:rsidRPr="00AA4777">
        <w:rPr>
          <w:rFonts w:ascii="Times New Roman" w:hAnsi="Times New Roman"/>
          <w:color w:val="212121"/>
          <w:sz w:val="24"/>
          <w:szCs w:val="24"/>
          <w:lang w:val="en-GB"/>
        </w:rPr>
        <w:t xml:space="preserve">water systems management, </w:t>
      </w:r>
      <w:r w:rsidRPr="00AA4777">
        <w:rPr>
          <w:rFonts w:ascii="Times New Roman" w:hAnsi="Times New Roman"/>
          <w:color w:val="212121"/>
          <w:sz w:val="24"/>
          <w:szCs w:val="24"/>
          <w:lang w:val="en-GB"/>
        </w:rPr>
        <w:lastRenderedPageBreak/>
        <w:t xml:space="preserve">operation and maintenance providing service to at least 100,000 people in the territory of the </w:t>
      </w:r>
      <w:r w:rsidRPr="00AA024C">
        <w:rPr>
          <w:rFonts w:ascii="Times New Roman" w:hAnsi="Times New Roman"/>
          <w:color w:val="212121"/>
          <w:sz w:val="24"/>
          <w:szCs w:val="24"/>
          <w:lang w:val="en-GB"/>
        </w:rPr>
        <w:t>Republic of Armenia</w:t>
      </w:r>
      <w:r w:rsidR="00DE704A" w:rsidRPr="00AA024C">
        <w:rPr>
          <w:rFonts w:ascii="Times New Roman" w:hAnsi="Times New Roman"/>
          <w:color w:val="212121"/>
          <w:sz w:val="24"/>
          <w:szCs w:val="24"/>
          <w:lang w:val="en-GB"/>
        </w:rPr>
        <w:t xml:space="preserve"> with duration </w:t>
      </w:r>
      <w:r w:rsidRPr="00AA024C">
        <w:rPr>
          <w:rFonts w:ascii="Times New Roman" w:hAnsi="Times New Roman"/>
          <w:sz w:val="24"/>
          <w:szCs w:val="24"/>
          <w:lang w:val="en-GB"/>
        </w:rPr>
        <w:t>of not less than 5 years</w:t>
      </w:r>
      <w:r w:rsidRPr="00AA4777">
        <w:rPr>
          <w:rFonts w:ascii="Times New Roman" w:hAnsi="Times New Roman"/>
          <w:color w:val="212121"/>
          <w:sz w:val="24"/>
          <w:szCs w:val="24"/>
          <w:lang w:val="en-GB"/>
        </w:rPr>
        <w:t>.</w:t>
      </w:r>
    </w:p>
    <w:p w:rsidR="003F45F4" w:rsidRPr="00A0745F" w:rsidRDefault="00DE704A" w:rsidP="00AA4777">
      <w:pPr>
        <w:autoSpaceDE w:val="0"/>
        <w:autoSpaceDN w:val="0"/>
        <w:adjustRightInd w:val="0"/>
        <w:ind w:left="708"/>
        <w:jc w:val="both"/>
      </w:pPr>
      <w:r w:rsidRPr="00AA024C">
        <w:t>3) Financial capabilities</w:t>
      </w:r>
      <w:r w:rsidR="007F3736" w:rsidRPr="00AA024C">
        <w:t>:</w:t>
      </w:r>
      <w:r w:rsidR="003F45F4" w:rsidRPr="00AA024C">
        <w:t xml:space="preserve"> </w:t>
      </w:r>
      <w:r w:rsidR="003F45F4" w:rsidRPr="00D94BA6">
        <w:t>Turnover in respect of water system operation</w:t>
      </w:r>
      <w:r w:rsidR="003F45F4" w:rsidRPr="00A0745F">
        <w:t xml:space="preserve">s of </w:t>
      </w:r>
      <w:r w:rsidR="00F11002" w:rsidRPr="00A0745F">
        <w:t xml:space="preserve">a </w:t>
      </w:r>
      <w:r w:rsidR="003F45F4" w:rsidRPr="00A0745F">
        <w:t xml:space="preserve">bidder (including as a member of </w:t>
      </w:r>
      <w:r w:rsidR="00E74E3E">
        <w:t xml:space="preserve">a </w:t>
      </w:r>
      <w:r w:rsidR="003F45F4" w:rsidRPr="00A0745F">
        <w:t xml:space="preserve">consortium) or its subsidiary or a company with its 50 percent and more participation (including as a member of </w:t>
      </w:r>
      <w:r w:rsidR="00E74E3E">
        <w:t xml:space="preserve">a </w:t>
      </w:r>
      <w:r w:rsidR="003F45F4" w:rsidRPr="00A0745F">
        <w:t>consortium) d</w:t>
      </w:r>
      <w:r w:rsidRPr="00A0745F">
        <w:t xml:space="preserve">uring the last </w:t>
      </w:r>
      <w:r w:rsidR="005510FA" w:rsidRPr="00AA024C">
        <w:t>5</w:t>
      </w:r>
      <w:r w:rsidRPr="00AA024C">
        <w:t xml:space="preserve"> </w:t>
      </w:r>
      <w:r w:rsidR="003F45F4" w:rsidRPr="00D94BA6">
        <w:t xml:space="preserve">years prior </w:t>
      </w:r>
      <w:r w:rsidR="00F11002" w:rsidRPr="00D94BA6">
        <w:t xml:space="preserve">to the </w:t>
      </w:r>
      <w:r w:rsidRPr="00A0745F">
        <w:t>publication of this announcement</w:t>
      </w:r>
      <w:r w:rsidR="003F45F4" w:rsidRPr="00A0745F">
        <w:t xml:space="preserve">: annual average </w:t>
      </w:r>
      <w:r w:rsidR="00F11002" w:rsidRPr="00A0745F">
        <w:t xml:space="preserve">turnover </w:t>
      </w:r>
      <w:r w:rsidR="003F45F4" w:rsidRPr="00A0745F">
        <w:t>equivalent</w:t>
      </w:r>
      <w:r w:rsidRPr="00A0745F">
        <w:t xml:space="preserve"> </w:t>
      </w:r>
      <w:r w:rsidR="003F45F4" w:rsidRPr="00A0745F">
        <w:t>to at least</w:t>
      </w:r>
      <w:r w:rsidR="00001277" w:rsidRPr="00AA024C">
        <w:t xml:space="preserve"> </w:t>
      </w:r>
      <w:r w:rsidR="00001277" w:rsidRPr="00D94BA6">
        <w:t>US</w:t>
      </w:r>
      <w:r w:rsidR="002807A9">
        <w:t>D</w:t>
      </w:r>
      <w:r w:rsidR="002807A9" w:rsidRPr="00D94BA6">
        <w:t xml:space="preserve"> </w:t>
      </w:r>
      <w:r w:rsidR="00001277" w:rsidRPr="00D94BA6">
        <w:t>50 million</w:t>
      </w:r>
      <w:r w:rsidR="003F45F4" w:rsidRPr="00A0745F">
        <w:t>.</w:t>
      </w:r>
    </w:p>
    <w:p w:rsidR="00001277" w:rsidRPr="00A0745F" w:rsidRDefault="00001277" w:rsidP="00AA4777">
      <w:pPr>
        <w:autoSpaceDE w:val="0"/>
        <w:autoSpaceDN w:val="0"/>
        <w:adjustRightInd w:val="0"/>
        <w:ind w:left="708"/>
        <w:jc w:val="both"/>
      </w:pPr>
      <w:r w:rsidRPr="00A0745F">
        <w:t xml:space="preserve"> </w:t>
      </w:r>
    </w:p>
    <w:p w:rsidR="005657EE" w:rsidRPr="00AA024C" w:rsidRDefault="00385C87" w:rsidP="00AA4777">
      <w:pPr>
        <w:pStyle w:val="HTMLPreformatted"/>
        <w:numPr>
          <w:ilvl w:val="0"/>
          <w:numId w:val="15"/>
        </w:numPr>
        <w:shd w:val="clear" w:color="auto" w:fill="FFFFFF"/>
        <w:tabs>
          <w:tab w:val="clear" w:pos="916"/>
          <w:tab w:val="left" w:pos="709"/>
        </w:tabs>
        <w:ind w:left="142" w:firstLine="0"/>
        <w:jc w:val="both"/>
        <w:rPr>
          <w:rFonts w:ascii="Times New Roman" w:hAnsi="Times New Roman" w:cs="Times New Roman"/>
          <w:color w:val="212121"/>
          <w:sz w:val="24"/>
          <w:szCs w:val="24"/>
          <w:lang w:val="en-GB"/>
        </w:rPr>
      </w:pPr>
      <w:r w:rsidRPr="00AA024C">
        <w:rPr>
          <w:rFonts w:ascii="Times New Roman" w:hAnsi="Times New Roman" w:cs="Times New Roman"/>
          <w:sz w:val="24"/>
          <w:szCs w:val="24"/>
          <w:lang w:val="en-GB"/>
        </w:rPr>
        <w:t>T</w:t>
      </w:r>
      <w:r w:rsidR="005657EE" w:rsidRPr="00AA024C">
        <w:rPr>
          <w:rFonts w:ascii="Times New Roman" w:hAnsi="Times New Roman" w:cs="Times New Roman"/>
          <w:sz w:val="24"/>
          <w:szCs w:val="24"/>
          <w:lang w:val="en-GB"/>
        </w:rPr>
        <w:t xml:space="preserve">he </w:t>
      </w:r>
      <w:r w:rsidR="005657EE" w:rsidRPr="00AA4777">
        <w:rPr>
          <w:rFonts w:ascii="Times New Roman" w:hAnsi="Times New Roman" w:cs="Times New Roman"/>
          <w:color w:val="212121"/>
          <w:sz w:val="24"/>
          <w:szCs w:val="24"/>
          <w:lang w:val="en-GB"/>
        </w:rPr>
        <w:t>bidder’s</w:t>
      </w:r>
      <w:r w:rsidR="005657EE" w:rsidRPr="00AA024C">
        <w:rPr>
          <w:rFonts w:ascii="Times New Roman" w:hAnsi="Times New Roman" w:cs="Times New Roman"/>
          <w:sz w:val="24"/>
          <w:szCs w:val="24"/>
          <w:lang w:val="en-GB"/>
        </w:rPr>
        <w:t xml:space="preserve"> compliance with the </w:t>
      </w:r>
      <w:r w:rsidR="005657EE" w:rsidRPr="00AA024C">
        <w:rPr>
          <w:rFonts w:ascii="Times New Roman" w:hAnsi="Times New Roman" w:cs="Times New Roman"/>
          <w:color w:val="212121"/>
          <w:sz w:val="24"/>
          <w:szCs w:val="24"/>
          <w:lang w:val="en-GB"/>
        </w:rPr>
        <w:t xml:space="preserve">qualification requirements are evaluated in the following </w:t>
      </w:r>
      <w:r w:rsidRPr="00AA024C">
        <w:rPr>
          <w:rFonts w:ascii="Times New Roman" w:hAnsi="Times New Roman" w:cs="Times New Roman"/>
          <w:color w:val="212121"/>
          <w:sz w:val="24"/>
          <w:szCs w:val="24"/>
          <w:lang w:val="en-GB"/>
        </w:rPr>
        <w:t>way</w:t>
      </w:r>
      <w:r w:rsidR="005657EE" w:rsidRPr="00AA024C">
        <w:rPr>
          <w:rFonts w:ascii="Times New Roman" w:hAnsi="Times New Roman" w:cs="Times New Roman"/>
          <w:color w:val="212121"/>
          <w:sz w:val="24"/>
          <w:szCs w:val="24"/>
          <w:lang w:val="en-GB"/>
        </w:rPr>
        <w:t>:</w:t>
      </w:r>
    </w:p>
    <w:p w:rsidR="00F11002" w:rsidRPr="00AA4777" w:rsidRDefault="00F11002" w:rsidP="002D7695">
      <w:pPr>
        <w:autoSpaceDE w:val="0"/>
        <w:autoSpaceDN w:val="0"/>
        <w:adjustRightInd w:val="0"/>
        <w:ind w:left="708"/>
        <w:jc w:val="both"/>
      </w:pPr>
    </w:p>
    <w:p w:rsidR="00F11002" w:rsidRPr="00AA4777" w:rsidRDefault="00F11002" w:rsidP="00AA4777">
      <w:pPr>
        <w:pStyle w:val="ListParagraph"/>
        <w:numPr>
          <w:ilvl w:val="0"/>
          <w:numId w:val="10"/>
        </w:numPr>
        <w:autoSpaceDE w:val="0"/>
        <w:autoSpaceDN w:val="0"/>
        <w:adjustRightInd w:val="0"/>
        <w:jc w:val="both"/>
        <w:rPr>
          <w:color w:val="212121"/>
        </w:rPr>
      </w:pPr>
      <w:r w:rsidRPr="00AA4777">
        <w:rPr>
          <w:rFonts w:ascii="Times New Roman" w:hAnsi="Times New Roman"/>
          <w:color w:val="212121"/>
          <w:sz w:val="24"/>
          <w:szCs w:val="24"/>
          <w:lang w:val="en-GB"/>
        </w:rPr>
        <w:t xml:space="preserve">The bidder must submit a declaration, proposed form of which and the imposed requirements on it are specified in Annex N 2.2, including the attachment of all proving documents; </w:t>
      </w:r>
    </w:p>
    <w:p w:rsidR="005657EE" w:rsidRPr="00AA4777" w:rsidRDefault="00385C87" w:rsidP="00AA4777">
      <w:pPr>
        <w:pStyle w:val="ListParagraph"/>
        <w:numPr>
          <w:ilvl w:val="0"/>
          <w:numId w:val="10"/>
        </w:numPr>
        <w:autoSpaceDE w:val="0"/>
        <w:autoSpaceDN w:val="0"/>
        <w:adjustRightInd w:val="0"/>
        <w:jc w:val="both"/>
        <w:rPr>
          <w:color w:val="212121"/>
        </w:rPr>
      </w:pPr>
      <w:r w:rsidRPr="00AA4777">
        <w:rPr>
          <w:rFonts w:ascii="Times New Roman" w:hAnsi="Times New Roman"/>
          <w:sz w:val="24"/>
          <w:szCs w:val="24"/>
          <w:lang w:val="en-GB"/>
        </w:rPr>
        <w:t xml:space="preserve">The bidder’s compliance with the </w:t>
      </w:r>
      <w:r w:rsidRPr="00AA4777">
        <w:rPr>
          <w:rFonts w:ascii="Times New Roman" w:hAnsi="Times New Roman"/>
          <w:color w:val="212121"/>
          <w:sz w:val="24"/>
          <w:szCs w:val="24"/>
          <w:lang w:val="en-GB"/>
        </w:rPr>
        <w:t xml:space="preserve">qualification requirements specified in each </w:t>
      </w:r>
      <w:r w:rsidR="00F11002" w:rsidRPr="00AA4777">
        <w:rPr>
          <w:rFonts w:ascii="Times New Roman" w:hAnsi="Times New Roman"/>
          <w:color w:val="212121"/>
          <w:sz w:val="24"/>
          <w:szCs w:val="24"/>
          <w:lang w:val="en-GB"/>
        </w:rPr>
        <w:t xml:space="preserve">sub-point </w:t>
      </w:r>
      <w:r w:rsidRPr="00AA4777">
        <w:rPr>
          <w:rFonts w:ascii="Times New Roman" w:hAnsi="Times New Roman"/>
          <w:color w:val="212121"/>
          <w:sz w:val="24"/>
          <w:szCs w:val="24"/>
          <w:lang w:val="en-GB"/>
        </w:rPr>
        <w:t xml:space="preserve">of </w:t>
      </w:r>
      <w:r w:rsidR="00C9004D" w:rsidRPr="00AA4777">
        <w:rPr>
          <w:rFonts w:ascii="Times New Roman" w:hAnsi="Times New Roman"/>
          <w:color w:val="212121"/>
          <w:sz w:val="24"/>
          <w:szCs w:val="24"/>
          <w:lang w:val="en-GB"/>
        </w:rPr>
        <w:t>P</w:t>
      </w:r>
      <w:r w:rsidR="00F11002" w:rsidRPr="00AA4777">
        <w:rPr>
          <w:rFonts w:ascii="Times New Roman" w:hAnsi="Times New Roman"/>
          <w:color w:val="212121"/>
          <w:sz w:val="24"/>
          <w:szCs w:val="24"/>
          <w:lang w:val="en-GB"/>
        </w:rPr>
        <w:t xml:space="preserve">oint </w:t>
      </w:r>
      <w:r w:rsidR="009C51C9">
        <w:rPr>
          <w:rFonts w:ascii="Times New Roman" w:hAnsi="Times New Roman"/>
          <w:color w:val="212121"/>
          <w:sz w:val="24"/>
          <w:szCs w:val="24"/>
          <w:lang w:val="en-GB"/>
        </w:rPr>
        <w:t>9</w:t>
      </w:r>
      <w:r w:rsidR="009C51C9" w:rsidRPr="00AA4777">
        <w:rPr>
          <w:rFonts w:ascii="Times New Roman" w:hAnsi="Times New Roman"/>
          <w:color w:val="212121"/>
          <w:sz w:val="24"/>
          <w:szCs w:val="24"/>
          <w:lang w:val="en-GB"/>
        </w:rPr>
        <w:t xml:space="preserve"> </w:t>
      </w:r>
      <w:r w:rsidRPr="00AA4777">
        <w:rPr>
          <w:rFonts w:ascii="Times New Roman" w:hAnsi="Times New Roman"/>
          <w:color w:val="212121"/>
          <w:sz w:val="24"/>
          <w:szCs w:val="24"/>
          <w:lang w:val="en-GB"/>
        </w:rPr>
        <w:t xml:space="preserve">of the announcement herewith </w:t>
      </w:r>
      <w:r w:rsidR="00E43F9D" w:rsidRPr="00AA4777">
        <w:rPr>
          <w:rFonts w:ascii="Times New Roman" w:hAnsi="Times New Roman"/>
          <w:color w:val="212121"/>
          <w:sz w:val="24"/>
          <w:szCs w:val="24"/>
          <w:lang w:val="en-GB"/>
        </w:rPr>
        <w:t>is</w:t>
      </w:r>
      <w:r w:rsidRPr="00AA4777">
        <w:rPr>
          <w:rFonts w:ascii="Times New Roman" w:hAnsi="Times New Roman"/>
          <w:color w:val="212121"/>
          <w:sz w:val="24"/>
          <w:szCs w:val="24"/>
          <w:lang w:val="en-GB"/>
        </w:rPr>
        <w:t xml:space="preserve"> evaluated </w:t>
      </w:r>
      <w:r w:rsidR="005657EE" w:rsidRPr="00AA4777">
        <w:rPr>
          <w:rFonts w:ascii="Times New Roman" w:hAnsi="Times New Roman"/>
          <w:color w:val="212121"/>
          <w:sz w:val="24"/>
          <w:szCs w:val="24"/>
          <w:lang w:val="en-GB"/>
        </w:rPr>
        <w:t>separately</w:t>
      </w:r>
      <w:r w:rsidRPr="00AA4777">
        <w:rPr>
          <w:rFonts w:ascii="Times New Roman" w:hAnsi="Times New Roman"/>
          <w:color w:val="212121"/>
          <w:sz w:val="24"/>
          <w:szCs w:val="24"/>
          <w:lang w:val="en-GB"/>
        </w:rPr>
        <w:t>,</w:t>
      </w:r>
      <w:r w:rsidR="005657EE" w:rsidRPr="00AA4777">
        <w:rPr>
          <w:rFonts w:ascii="Times New Roman" w:hAnsi="Times New Roman"/>
          <w:color w:val="212121"/>
          <w:sz w:val="24"/>
          <w:szCs w:val="24"/>
          <w:lang w:val="en-GB"/>
        </w:rPr>
        <w:t xml:space="preserve"> </w:t>
      </w:r>
      <w:r w:rsidRPr="00AA4777">
        <w:rPr>
          <w:rFonts w:ascii="Times New Roman" w:hAnsi="Times New Roman"/>
          <w:color w:val="212121"/>
          <w:sz w:val="24"/>
          <w:szCs w:val="24"/>
          <w:lang w:val="en-GB"/>
        </w:rPr>
        <w:t xml:space="preserve">based on the information presented </w:t>
      </w:r>
      <w:r w:rsidR="00C9004D" w:rsidRPr="00AA4777">
        <w:rPr>
          <w:rFonts w:ascii="Times New Roman" w:hAnsi="Times New Roman"/>
          <w:color w:val="212121"/>
          <w:sz w:val="24"/>
          <w:szCs w:val="24"/>
          <w:lang w:val="en-GB"/>
        </w:rPr>
        <w:t>by a bidder as attachment to</w:t>
      </w:r>
      <w:r w:rsidRPr="00AA4777">
        <w:rPr>
          <w:rFonts w:ascii="Times New Roman" w:hAnsi="Times New Roman"/>
          <w:color w:val="212121"/>
          <w:sz w:val="24"/>
          <w:szCs w:val="24"/>
          <w:lang w:val="en-GB"/>
        </w:rPr>
        <w:t xml:space="preserve"> Annex N 2.2</w:t>
      </w:r>
      <w:r w:rsidR="00C9004D" w:rsidRPr="00AA4777">
        <w:rPr>
          <w:rFonts w:ascii="Times New Roman" w:hAnsi="Times New Roman"/>
          <w:color w:val="212121"/>
          <w:sz w:val="24"/>
          <w:szCs w:val="24"/>
          <w:lang w:val="en-GB"/>
        </w:rPr>
        <w:t>;</w:t>
      </w:r>
    </w:p>
    <w:p w:rsidR="00C94FF8" w:rsidRPr="00AA4777" w:rsidRDefault="00385C87" w:rsidP="00AA4777">
      <w:pPr>
        <w:pStyle w:val="ListParagraph"/>
        <w:numPr>
          <w:ilvl w:val="0"/>
          <w:numId w:val="10"/>
        </w:numPr>
        <w:autoSpaceDE w:val="0"/>
        <w:autoSpaceDN w:val="0"/>
        <w:adjustRightInd w:val="0"/>
        <w:jc w:val="both"/>
        <w:rPr>
          <w:color w:val="212121"/>
        </w:rPr>
      </w:pPr>
      <w:r w:rsidRPr="00AA4777">
        <w:rPr>
          <w:rFonts w:ascii="Times New Roman" w:hAnsi="Times New Roman"/>
          <w:sz w:val="24"/>
          <w:szCs w:val="24"/>
          <w:lang w:val="en-GB"/>
        </w:rPr>
        <w:t xml:space="preserve">In case of the compliance with the </w:t>
      </w:r>
      <w:r w:rsidRPr="00AA4777">
        <w:rPr>
          <w:rFonts w:ascii="Times New Roman" w:hAnsi="Times New Roman"/>
          <w:color w:val="212121"/>
          <w:sz w:val="24"/>
          <w:szCs w:val="24"/>
          <w:lang w:val="en-GB"/>
        </w:rPr>
        <w:t xml:space="preserve">qualification requirements specified in each </w:t>
      </w:r>
      <w:r w:rsidR="00C9004D" w:rsidRPr="00AA4777">
        <w:rPr>
          <w:rFonts w:ascii="Times New Roman" w:hAnsi="Times New Roman"/>
          <w:color w:val="212121"/>
          <w:sz w:val="24"/>
          <w:szCs w:val="24"/>
          <w:lang w:val="en-GB"/>
        </w:rPr>
        <w:t>sub-point</w:t>
      </w:r>
      <w:r w:rsidR="00AE16D7" w:rsidRPr="00AA4777">
        <w:rPr>
          <w:rFonts w:ascii="Times New Roman" w:hAnsi="Times New Roman"/>
          <w:color w:val="212121"/>
          <w:sz w:val="24"/>
          <w:szCs w:val="24"/>
          <w:lang w:val="en-GB"/>
        </w:rPr>
        <w:t xml:space="preserve"> </w:t>
      </w:r>
      <w:r w:rsidRPr="00AA4777">
        <w:rPr>
          <w:rFonts w:ascii="Times New Roman" w:hAnsi="Times New Roman"/>
          <w:color w:val="212121"/>
          <w:sz w:val="24"/>
          <w:szCs w:val="24"/>
          <w:lang w:val="en-GB"/>
        </w:rPr>
        <w:t xml:space="preserve">of </w:t>
      </w:r>
      <w:r w:rsidR="00C9004D" w:rsidRPr="00AA4777">
        <w:rPr>
          <w:rFonts w:ascii="Times New Roman" w:hAnsi="Times New Roman"/>
          <w:color w:val="212121"/>
          <w:sz w:val="24"/>
          <w:szCs w:val="24"/>
          <w:lang w:val="en-GB"/>
        </w:rPr>
        <w:t xml:space="preserve">Point </w:t>
      </w:r>
      <w:r w:rsidR="009C51C9">
        <w:rPr>
          <w:rFonts w:ascii="Times New Roman" w:hAnsi="Times New Roman"/>
          <w:color w:val="212121"/>
          <w:sz w:val="24"/>
          <w:szCs w:val="24"/>
          <w:lang w:val="en-GB"/>
        </w:rPr>
        <w:t>9</w:t>
      </w:r>
      <w:r w:rsidR="009C51C9" w:rsidRPr="00AA4777">
        <w:rPr>
          <w:rFonts w:ascii="Times New Roman" w:hAnsi="Times New Roman"/>
          <w:color w:val="212121"/>
          <w:sz w:val="24"/>
          <w:szCs w:val="24"/>
          <w:lang w:val="en-GB"/>
        </w:rPr>
        <w:t xml:space="preserve"> </w:t>
      </w:r>
      <w:r w:rsidRPr="00AA4777">
        <w:rPr>
          <w:rFonts w:ascii="Times New Roman" w:hAnsi="Times New Roman"/>
          <w:color w:val="212121"/>
          <w:sz w:val="24"/>
          <w:szCs w:val="24"/>
          <w:lang w:val="en-GB"/>
        </w:rPr>
        <w:t>of the announcement herewith</w:t>
      </w:r>
      <w:r w:rsidRPr="00AA4777">
        <w:rPr>
          <w:rFonts w:ascii="Times New Roman" w:hAnsi="Times New Roman"/>
          <w:sz w:val="24"/>
          <w:szCs w:val="24"/>
          <w:lang w:val="en-GB"/>
        </w:rPr>
        <w:t xml:space="preserve"> </w:t>
      </w:r>
      <w:r w:rsidR="00C94FF8" w:rsidRPr="00AA4777">
        <w:rPr>
          <w:rFonts w:ascii="Times New Roman" w:hAnsi="Times New Roman"/>
          <w:color w:val="212121"/>
          <w:sz w:val="24"/>
          <w:szCs w:val="24"/>
          <w:lang w:val="en-GB"/>
        </w:rPr>
        <w:t xml:space="preserve">the </w:t>
      </w:r>
      <w:r w:rsidR="00C614EB" w:rsidRPr="00AA4777">
        <w:rPr>
          <w:rFonts w:ascii="Times New Roman" w:hAnsi="Times New Roman"/>
          <w:color w:val="212121"/>
          <w:sz w:val="24"/>
          <w:szCs w:val="24"/>
          <w:lang w:val="en-GB"/>
        </w:rPr>
        <w:t>application</w:t>
      </w:r>
      <w:r w:rsidR="00C94FF8" w:rsidRPr="00AA4777">
        <w:rPr>
          <w:rFonts w:ascii="Times New Roman" w:hAnsi="Times New Roman"/>
          <w:color w:val="212121"/>
          <w:sz w:val="24"/>
          <w:szCs w:val="24"/>
          <w:lang w:val="en-GB"/>
        </w:rPr>
        <w:t xml:space="preserve"> is evaluated positively in regard with the respective requirement</w:t>
      </w:r>
      <w:r w:rsidR="007F3736" w:rsidRPr="00AA4777">
        <w:rPr>
          <w:rFonts w:ascii="Times New Roman" w:hAnsi="Times New Roman"/>
          <w:color w:val="212121"/>
          <w:sz w:val="24"/>
          <w:szCs w:val="24"/>
          <w:lang w:val="en-GB"/>
        </w:rPr>
        <w:t>;</w:t>
      </w:r>
    </w:p>
    <w:p w:rsidR="00A0745F" w:rsidRPr="00AA4777" w:rsidRDefault="00C94FF8" w:rsidP="002D7695">
      <w:pPr>
        <w:pStyle w:val="ListParagraph"/>
        <w:numPr>
          <w:ilvl w:val="0"/>
          <w:numId w:val="10"/>
        </w:numPr>
        <w:autoSpaceDE w:val="0"/>
        <w:autoSpaceDN w:val="0"/>
        <w:adjustRightInd w:val="0"/>
        <w:spacing w:after="0" w:line="240" w:lineRule="auto"/>
        <w:ind w:left="1423" w:hanging="357"/>
        <w:jc w:val="both"/>
      </w:pPr>
      <w:r w:rsidRPr="00AA4777">
        <w:rPr>
          <w:rFonts w:ascii="Times New Roman" w:hAnsi="Times New Roman"/>
          <w:sz w:val="24"/>
          <w:szCs w:val="24"/>
          <w:lang w:val="en-GB"/>
        </w:rPr>
        <w:t xml:space="preserve">The bidders </w:t>
      </w:r>
      <w:r w:rsidR="00E74E3E" w:rsidRPr="00AA4777">
        <w:rPr>
          <w:rFonts w:ascii="Times New Roman" w:hAnsi="Times New Roman"/>
          <w:sz w:val="24"/>
          <w:szCs w:val="24"/>
          <w:lang w:val="en-GB"/>
        </w:rPr>
        <w:t>submitt</w:t>
      </w:r>
      <w:r w:rsidR="00E74E3E">
        <w:rPr>
          <w:rFonts w:ascii="Times New Roman" w:hAnsi="Times New Roman"/>
          <w:sz w:val="24"/>
          <w:szCs w:val="24"/>
          <w:lang w:val="en-GB"/>
        </w:rPr>
        <w:t xml:space="preserve">ing </w:t>
      </w:r>
      <w:r w:rsidR="00C9004D" w:rsidRPr="00AA4777">
        <w:rPr>
          <w:rFonts w:ascii="Times New Roman" w:hAnsi="Times New Roman"/>
          <w:sz w:val="24"/>
          <w:szCs w:val="24"/>
          <w:lang w:val="en-GB"/>
        </w:rPr>
        <w:t xml:space="preserve">applications which </w:t>
      </w:r>
      <w:r w:rsidR="00E74E3E">
        <w:rPr>
          <w:rFonts w:ascii="Times New Roman" w:hAnsi="Times New Roman"/>
          <w:sz w:val="24"/>
          <w:szCs w:val="24"/>
          <w:lang w:val="en-GB"/>
        </w:rPr>
        <w:t xml:space="preserve">are </w:t>
      </w:r>
      <w:r w:rsidRPr="00AA4777">
        <w:rPr>
          <w:rFonts w:ascii="Times New Roman" w:hAnsi="Times New Roman"/>
          <w:sz w:val="24"/>
          <w:szCs w:val="24"/>
          <w:lang w:val="en-GB"/>
        </w:rPr>
        <w:t xml:space="preserve">evaluated positively in compliance with all the </w:t>
      </w:r>
      <w:r w:rsidRPr="00AA4777">
        <w:rPr>
          <w:rFonts w:ascii="Times New Roman" w:hAnsi="Times New Roman"/>
          <w:color w:val="212121"/>
          <w:sz w:val="24"/>
          <w:szCs w:val="24"/>
          <w:lang w:val="en-GB"/>
        </w:rPr>
        <w:t xml:space="preserve">qualification requirements specified in each </w:t>
      </w:r>
      <w:r w:rsidR="00C9004D" w:rsidRPr="00AA4777">
        <w:rPr>
          <w:rFonts w:ascii="Times New Roman" w:hAnsi="Times New Roman"/>
          <w:color w:val="212121"/>
          <w:sz w:val="24"/>
          <w:szCs w:val="24"/>
          <w:lang w:val="en-GB"/>
        </w:rPr>
        <w:t xml:space="preserve">sub-point </w:t>
      </w:r>
      <w:r w:rsidRPr="00AA4777">
        <w:rPr>
          <w:rFonts w:ascii="Times New Roman" w:hAnsi="Times New Roman"/>
          <w:color w:val="212121"/>
          <w:sz w:val="24"/>
          <w:szCs w:val="24"/>
          <w:lang w:val="en-GB"/>
        </w:rPr>
        <w:t xml:space="preserve">of </w:t>
      </w:r>
      <w:r w:rsidR="00C9004D" w:rsidRPr="00AA4777">
        <w:rPr>
          <w:rFonts w:ascii="Times New Roman" w:hAnsi="Times New Roman"/>
          <w:color w:val="212121"/>
          <w:sz w:val="24"/>
          <w:szCs w:val="24"/>
          <w:lang w:val="en-GB"/>
        </w:rPr>
        <w:t>Point</w:t>
      </w:r>
      <w:r w:rsidR="00AE16D7" w:rsidRPr="00AA4777">
        <w:rPr>
          <w:rFonts w:ascii="Times New Roman" w:hAnsi="Times New Roman"/>
          <w:color w:val="212121"/>
          <w:sz w:val="24"/>
          <w:szCs w:val="24"/>
          <w:lang w:val="en-GB"/>
        </w:rPr>
        <w:t xml:space="preserve"> </w:t>
      </w:r>
      <w:r w:rsidR="009C51C9">
        <w:rPr>
          <w:rFonts w:ascii="Times New Roman" w:hAnsi="Times New Roman"/>
          <w:color w:val="212121"/>
          <w:sz w:val="24"/>
          <w:szCs w:val="24"/>
          <w:lang w:val="en-GB"/>
        </w:rPr>
        <w:t>9</w:t>
      </w:r>
      <w:r w:rsidR="009C51C9" w:rsidRPr="00AA4777">
        <w:rPr>
          <w:rFonts w:ascii="Times New Roman" w:hAnsi="Times New Roman"/>
          <w:color w:val="212121"/>
          <w:sz w:val="24"/>
          <w:szCs w:val="24"/>
          <w:lang w:val="en-GB"/>
        </w:rPr>
        <w:t xml:space="preserve"> </w:t>
      </w:r>
      <w:r w:rsidRPr="00AA4777">
        <w:rPr>
          <w:rFonts w:ascii="Times New Roman" w:hAnsi="Times New Roman"/>
          <w:color w:val="212121"/>
          <w:sz w:val="24"/>
          <w:szCs w:val="24"/>
          <w:lang w:val="en-GB"/>
        </w:rPr>
        <w:t>of the announcement herewith</w:t>
      </w:r>
      <w:r w:rsidR="00C9004D" w:rsidRPr="00AA4777">
        <w:rPr>
          <w:rFonts w:ascii="Times New Roman" w:hAnsi="Times New Roman"/>
          <w:color w:val="212121"/>
          <w:sz w:val="24"/>
          <w:szCs w:val="24"/>
          <w:lang w:val="en-GB"/>
        </w:rPr>
        <w:t xml:space="preserve">, </w:t>
      </w:r>
      <w:r w:rsidR="00C65DE2" w:rsidRPr="00AA4777">
        <w:rPr>
          <w:rFonts w:ascii="Times New Roman" w:hAnsi="Times New Roman"/>
          <w:color w:val="212121"/>
          <w:sz w:val="24"/>
          <w:szCs w:val="24"/>
          <w:lang w:val="en-GB"/>
        </w:rPr>
        <w:t>in case of approval</w:t>
      </w:r>
      <w:r w:rsidR="00C9004D" w:rsidRPr="00AA4777">
        <w:rPr>
          <w:rFonts w:ascii="Times New Roman" w:hAnsi="Times New Roman"/>
          <w:color w:val="212121"/>
          <w:sz w:val="24"/>
          <w:szCs w:val="24"/>
          <w:lang w:val="en-GB"/>
        </w:rPr>
        <w:t xml:space="preserve"> by the Government of the Republic of Armenia</w:t>
      </w:r>
      <w:r w:rsidR="000C694C" w:rsidRPr="00AA4777">
        <w:rPr>
          <w:rFonts w:ascii="Times New Roman" w:hAnsi="Times New Roman"/>
          <w:color w:val="212121"/>
          <w:sz w:val="24"/>
          <w:szCs w:val="24"/>
          <w:lang w:val="en-GB"/>
        </w:rPr>
        <w:t>, are</w:t>
      </w:r>
      <w:r w:rsidRPr="00AA4777">
        <w:rPr>
          <w:rFonts w:ascii="Times New Roman" w:hAnsi="Times New Roman"/>
          <w:color w:val="212121"/>
          <w:sz w:val="24"/>
          <w:szCs w:val="24"/>
          <w:lang w:val="en-GB"/>
        </w:rPr>
        <w:t xml:space="preserve"> </w:t>
      </w:r>
      <w:r w:rsidR="00C65DE2" w:rsidRPr="00AA4777">
        <w:rPr>
          <w:rFonts w:ascii="Times New Roman" w:hAnsi="Times New Roman"/>
          <w:color w:val="212121"/>
          <w:sz w:val="24"/>
          <w:szCs w:val="24"/>
          <w:lang w:val="en-GB"/>
        </w:rPr>
        <w:t>included in the list of the pre-qualified</w:t>
      </w:r>
      <w:r w:rsidR="009F233E" w:rsidRPr="00AA4777">
        <w:rPr>
          <w:rFonts w:ascii="Times New Roman" w:hAnsi="Times New Roman"/>
          <w:color w:val="212121"/>
          <w:sz w:val="24"/>
          <w:szCs w:val="24"/>
          <w:lang w:val="en-GB"/>
        </w:rPr>
        <w:t xml:space="preserve"> bidders by the </w:t>
      </w:r>
      <w:r w:rsidR="00A22066" w:rsidRPr="00AA4777">
        <w:rPr>
          <w:rFonts w:ascii="Times New Roman" w:hAnsi="Times New Roman"/>
          <w:color w:val="212121"/>
          <w:sz w:val="24"/>
          <w:szCs w:val="24"/>
          <w:lang w:val="en-GB"/>
        </w:rPr>
        <w:t>E</w:t>
      </w:r>
      <w:r w:rsidR="00DB2E80" w:rsidRPr="00AA4777">
        <w:rPr>
          <w:rFonts w:ascii="Times New Roman" w:hAnsi="Times New Roman"/>
          <w:color w:val="212121"/>
          <w:sz w:val="24"/>
          <w:szCs w:val="24"/>
          <w:lang w:val="en-GB"/>
        </w:rPr>
        <w:t>valuation</w:t>
      </w:r>
      <w:r w:rsidR="009F233E" w:rsidRPr="00AA4777">
        <w:rPr>
          <w:rFonts w:ascii="Times New Roman" w:hAnsi="Times New Roman"/>
          <w:color w:val="212121"/>
          <w:sz w:val="24"/>
          <w:szCs w:val="24"/>
          <w:lang w:val="en-GB"/>
        </w:rPr>
        <w:t xml:space="preserve"> </w:t>
      </w:r>
      <w:r w:rsidR="00A22066" w:rsidRPr="00AA4777">
        <w:rPr>
          <w:rFonts w:ascii="Times New Roman" w:hAnsi="Times New Roman"/>
          <w:color w:val="212121"/>
          <w:sz w:val="24"/>
          <w:szCs w:val="24"/>
          <w:lang w:val="en-GB"/>
        </w:rPr>
        <w:t>C</w:t>
      </w:r>
      <w:r w:rsidR="009F233E" w:rsidRPr="00AA4777">
        <w:rPr>
          <w:rFonts w:ascii="Times New Roman" w:hAnsi="Times New Roman"/>
          <w:color w:val="212121"/>
          <w:sz w:val="24"/>
          <w:szCs w:val="24"/>
          <w:lang w:val="en-GB"/>
        </w:rPr>
        <w:t>ommi</w:t>
      </w:r>
      <w:r w:rsidR="00CB7D66" w:rsidRPr="00AA4777">
        <w:rPr>
          <w:rFonts w:ascii="Times New Roman" w:hAnsi="Times New Roman"/>
          <w:color w:val="212121"/>
          <w:sz w:val="24"/>
          <w:szCs w:val="24"/>
          <w:lang w:val="en-GB"/>
        </w:rPr>
        <w:t>ttee</w:t>
      </w:r>
      <w:r w:rsidR="009F233E" w:rsidRPr="00AA4777">
        <w:rPr>
          <w:rFonts w:ascii="Times New Roman" w:hAnsi="Times New Roman"/>
          <w:color w:val="212121"/>
          <w:sz w:val="24"/>
          <w:szCs w:val="24"/>
          <w:lang w:val="en-GB"/>
        </w:rPr>
        <w:t xml:space="preserve"> in accordance with the defined procedure</w:t>
      </w:r>
      <w:r w:rsidR="00DB2E80" w:rsidRPr="00AA4777">
        <w:rPr>
          <w:rFonts w:ascii="Times New Roman" w:hAnsi="Times New Roman"/>
          <w:color w:val="212121"/>
          <w:sz w:val="24"/>
          <w:szCs w:val="24"/>
          <w:lang w:val="en-GB"/>
        </w:rPr>
        <w:t>.</w:t>
      </w:r>
    </w:p>
    <w:p w:rsidR="00C94FF8" w:rsidRPr="00D94BA6" w:rsidRDefault="00C94FF8" w:rsidP="002D7695">
      <w:pPr>
        <w:autoSpaceDE w:val="0"/>
        <w:autoSpaceDN w:val="0"/>
        <w:adjustRightInd w:val="0"/>
        <w:ind w:left="708"/>
        <w:jc w:val="both"/>
      </w:pPr>
    </w:p>
    <w:p w:rsidR="001D5320" w:rsidRPr="00AA4777" w:rsidRDefault="00671618" w:rsidP="00AA4777">
      <w:pPr>
        <w:pStyle w:val="HTMLPreformatted"/>
        <w:numPr>
          <w:ilvl w:val="0"/>
          <w:numId w:val="15"/>
        </w:numPr>
        <w:shd w:val="clear" w:color="auto" w:fill="FFFFFF"/>
        <w:tabs>
          <w:tab w:val="clear" w:pos="916"/>
          <w:tab w:val="left" w:pos="709"/>
        </w:tabs>
        <w:ind w:left="142" w:firstLine="0"/>
        <w:jc w:val="both"/>
        <w:rPr>
          <w:lang w:val="en-US"/>
        </w:rPr>
      </w:pPr>
      <w:r w:rsidRPr="002D7695">
        <w:rPr>
          <w:rFonts w:ascii="Times New Roman" w:hAnsi="Times New Roman" w:cs="Times New Roman"/>
          <w:sz w:val="24"/>
          <w:szCs w:val="24"/>
          <w:lang w:val="en-GB"/>
        </w:rPr>
        <w:t xml:space="preserve">For </w:t>
      </w:r>
      <w:r w:rsidR="005075D5" w:rsidRPr="002D7695">
        <w:rPr>
          <w:rFonts w:ascii="Times New Roman" w:hAnsi="Times New Roman" w:cs="Times New Roman"/>
          <w:sz w:val="24"/>
          <w:szCs w:val="24"/>
          <w:lang w:val="en-GB"/>
        </w:rPr>
        <w:t xml:space="preserve">ensuring the </w:t>
      </w:r>
      <w:r w:rsidRPr="002D7695">
        <w:rPr>
          <w:rFonts w:ascii="Times New Roman" w:hAnsi="Times New Roman" w:cs="Times New Roman"/>
          <w:sz w:val="24"/>
          <w:szCs w:val="24"/>
          <w:lang w:val="en-GB"/>
        </w:rPr>
        <w:t xml:space="preserve">compliance with the qualification requirements specified in </w:t>
      </w:r>
      <w:r w:rsidR="009F233E" w:rsidRPr="002D7695">
        <w:rPr>
          <w:rFonts w:ascii="Times New Roman" w:hAnsi="Times New Roman" w:cs="Times New Roman"/>
          <w:sz w:val="24"/>
          <w:szCs w:val="24"/>
          <w:lang w:val="en-GB"/>
        </w:rPr>
        <w:t>paragraphs</w:t>
      </w:r>
      <w:r w:rsidR="009F233E" w:rsidRPr="00AA4777">
        <w:rPr>
          <w:rFonts w:ascii="Times New Roman" w:hAnsi="Times New Roman" w:cs="Times New Roman"/>
          <w:color w:val="212121"/>
          <w:sz w:val="24"/>
          <w:szCs w:val="24"/>
          <w:lang w:val="en-US"/>
        </w:rPr>
        <w:t xml:space="preserve"> “a” and “b” of sub-point 1 and “a”</w:t>
      </w:r>
      <w:r w:rsidR="009F233E" w:rsidRPr="00AA4777">
        <w:rPr>
          <w:rFonts w:ascii="Times New Roman" w:hAnsi="Times New Roman" w:cs="Times New Roman"/>
          <w:sz w:val="24"/>
          <w:szCs w:val="24"/>
          <w:lang w:val="en-US"/>
        </w:rPr>
        <w:t xml:space="preserve"> and </w:t>
      </w:r>
      <w:r w:rsidRPr="00AA4777">
        <w:rPr>
          <w:rFonts w:ascii="Times New Roman" w:hAnsi="Times New Roman" w:cs="Times New Roman"/>
          <w:sz w:val="24"/>
          <w:szCs w:val="24"/>
          <w:lang w:val="en-US"/>
        </w:rPr>
        <w:t>“b”</w:t>
      </w:r>
      <w:r w:rsidR="009F233E" w:rsidRPr="00AA4777">
        <w:rPr>
          <w:rFonts w:ascii="Times New Roman" w:hAnsi="Times New Roman" w:cs="Times New Roman"/>
          <w:sz w:val="24"/>
          <w:szCs w:val="24"/>
          <w:lang w:val="en-US"/>
        </w:rPr>
        <w:t xml:space="preserve"> of sub-point 2 of Point </w:t>
      </w:r>
      <w:r w:rsidR="009C51C9">
        <w:rPr>
          <w:rFonts w:ascii="Times New Roman" w:hAnsi="Times New Roman" w:cs="Times New Roman"/>
          <w:sz w:val="24"/>
          <w:szCs w:val="24"/>
          <w:lang w:val="en-US"/>
        </w:rPr>
        <w:t>9</w:t>
      </w:r>
      <w:r w:rsidR="009C51C9" w:rsidRPr="00AA4777">
        <w:rPr>
          <w:rFonts w:ascii="Times New Roman" w:hAnsi="Times New Roman" w:cs="Times New Roman"/>
          <w:sz w:val="24"/>
          <w:szCs w:val="24"/>
          <w:lang w:val="en-US"/>
        </w:rPr>
        <w:t xml:space="preserve"> </w:t>
      </w:r>
      <w:r w:rsidRPr="00AA4777">
        <w:rPr>
          <w:rFonts w:ascii="Times New Roman" w:hAnsi="Times New Roman" w:cs="Times New Roman"/>
          <w:color w:val="212121"/>
          <w:sz w:val="24"/>
          <w:szCs w:val="24"/>
          <w:lang w:val="en-US"/>
        </w:rPr>
        <w:t xml:space="preserve">of the announcement herewith, </w:t>
      </w:r>
      <w:r w:rsidR="00900849" w:rsidRPr="00AA4777">
        <w:rPr>
          <w:rFonts w:ascii="Times New Roman" w:hAnsi="Times New Roman" w:cs="Times New Roman"/>
          <w:color w:val="212121"/>
          <w:sz w:val="24"/>
          <w:szCs w:val="24"/>
          <w:lang w:val="en-US"/>
        </w:rPr>
        <w:t>information</w:t>
      </w:r>
      <w:r w:rsidR="00855379" w:rsidRPr="00AA4777">
        <w:rPr>
          <w:rFonts w:ascii="Times New Roman" w:hAnsi="Times New Roman" w:cs="Times New Roman"/>
          <w:color w:val="212121"/>
          <w:sz w:val="24"/>
          <w:szCs w:val="24"/>
          <w:lang w:val="en-US"/>
        </w:rPr>
        <w:t xml:space="preserve"> concerning the </w:t>
      </w:r>
      <w:r w:rsidRPr="00AA4777">
        <w:rPr>
          <w:rFonts w:ascii="Times New Roman" w:hAnsi="Times New Roman" w:cs="Times New Roman"/>
          <w:color w:val="212121"/>
          <w:sz w:val="24"/>
          <w:szCs w:val="24"/>
          <w:lang w:val="en-US"/>
        </w:rPr>
        <w:t xml:space="preserve">relevant projects and/or the contracts </w:t>
      </w:r>
      <w:r w:rsidR="00855379" w:rsidRPr="00AA4777">
        <w:rPr>
          <w:rFonts w:ascii="Times New Roman" w:hAnsi="Times New Roman" w:cs="Times New Roman"/>
          <w:color w:val="212121"/>
          <w:sz w:val="24"/>
          <w:szCs w:val="24"/>
          <w:lang w:val="en-US"/>
        </w:rPr>
        <w:t xml:space="preserve">and their implementation </w:t>
      </w:r>
      <w:r w:rsidR="00E74E3E" w:rsidRPr="00AA4777">
        <w:rPr>
          <w:rFonts w:ascii="Times New Roman" w:hAnsi="Times New Roman" w:cs="Times New Roman"/>
          <w:color w:val="212121"/>
          <w:sz w:val="24"/>
          <w:szCs w:val="24"/>
          <w:lang w:val="en-US"/>
        </w:rPr>
        <w:t>sh</w:t>
      </w:r>
      <w:r w:rsidR="00E74E3E">
        <w:rPr>
          <w:rFonts w:ascii="Times New Roman" w:hAnsi="Times New Roman" w:cs="Times New Roman"/>
          <w:color w:val="212121"/>
          <w:sz w:val="24"/>
          <w:szCs w:val="24"/>
          <w:lang w:val="en-US"/>
        </w:rPr>
        <w:t>a</w:t>
      </w:r>
      <w:r w:rsidR="00E74E3E" w:rsidRPr="00AA4777">
        <w:rPr>
          <w:rFonts w:ascii="Times New Roman" w:hAnsi="Times New Roman" w:cs="Times New Roman"/>
          <w:color w:val="212121"/>
          <w:sz w:val="24"/>
          <w:szCs w:val="24"/>
          <w:lang w:val="en-US"/>
        </w:rPr>
        <w:t xml:space="preserve">ll </w:t>
      </w:r>
      <w:r w:rsidR="00855379" w:rsidRPr="00AA4777">
        <w:rPr>
          <w:rFonts w:ascii="Times New Roman" w:hAnsi="Times New Roman" w:cs="Times New Roman"/>
          <w:color w:val="212121"/>
          <w:sz w:val="24"/>
          <w:szCs w:val="24"/>
          <w:lang w:val="en-US"/>
        </w:rPr>
        <w:t xml:space="preserve">be </w:t>
      </w:r>
      <w:r w:rsidR="00697C5E">
        <w:rPr>
          <w:rFonts w:ascii="Times New Roman" w:hAnsi="Times New Roman" w:cs="Times New Roman"/>
          <w:color w:val="212121"/>
          <w:sz w:val="24"/>
          <w:szCs w:val="24"/>
          <w:lang w:val="en-US"/>
        </w:rPr>
        <w:t>submitted</w:t>
      </w:r>
      <w:r w:rsidR="00697C5E" w:rsidRPr="000619DE">
        <w:rPr>
          <w:rFonts w:ascii="Times New Roman" w:hAnsi="Times New Roman" w:cs="Times New Roman"/>
          <w:color w:val="212121"/>
          <w:sz w:val="24"/>
          <w:szCs w:val="24"/>
          <w:lang w:val="en-US"/>
        </w:rPr>
        <w:t xml:space="preserve"> </w:t>
      </w:r>
      <w:r w:rsidR="00697C5E">
        <w:rPr>
          <w:rFonts w:ascii="Times New Roman" w:hAnsi="Times New Roman" w:cs="Times New Roman"/>
          <w:color w:val="212121"/>
          <w:sz w:val="24"/>
          <w:szCs w:val="24"/>
          <w:lang w:val="en-US"/>
        </w:rPr>
        <w:t xml:space="preserve">as </w:t>
      </w:r>
      <w:r w:rsidR="00697C5E" w:rsidRPr="00AA4777">
        <w:rPr>
          <w:rFonts w:ascii="Times New Roman" w:hAnsi="Times New Roman" w:cs="Times New Roman"/>
          <w:color w:val="212121"/>
          <w:sz w:val="24"/>
          <w:szCs w:val="24"/>
          <w:lang w:val="en-US"/>
        </w:rPr>
        <w:t>attachm</w:t>
      </w:r>
      <w:r w:rsidR="00697C5E">
        <w:rPr>
          <w:rFonts w:ascii="Times New Roman" w:hAnsi="Times New Roman" w:cs="Times New Roman"/>
          <w:color w:val="212121"/>
          <w:sz w:val="24"/>
          <w:szCs w:val="24"/>
          <w:lang w:val="en-US"/>
        </w:rPr>
        <w:t xml:space="preserve">ent </w:t>
      </w:r>
      <w:r w:rsidR="000619DE" w:rsidRPr="00AA4777">
        <w:rPr>
          <w:rFonts w:ascii="Times New Roman" w:hAnsi="Times New Roman" w:cs="Times New Roman"/>
          <w:color w:val="212121"/>
          <w:sz w:val="24"/>
          <w:szCs w:val="24"/>
          <w:lang w:val="en-US"/>
        </w:rPr>
        <w:t xml:space="preserve">to Annex </w:t>
      </w:r>
      <w:r w:rsidR="000619DE" w:rsidRPr="00AA4777">
        <w:rPr>
          <w:rFonts w:ascii="Times New Roman" w:hAnsi="Times New Roman" w:cs="Times New Roman"/>
          <w:sz w:val="24"/>
          <w:szCs w:val="24"/>
          <w:lang w:val="en-US"/>
        </w:rPr>
        <w:t>N 2.2</w:t>
      </w:r>
      <w:r w:rsidR="002D7695">
        <w:rPr>
          <w:rFonts w:ascii="Times New Roman" w:hAnsi="Times New Roman" w:cs="Times New Roman"/>
          <w:sz w:val="24"/>
          <w:szCs w:val="24"/>
          <w:lang w:val="en-US"/>
        </w:rPr>
        <w:t xml:space="preserve"> of the application.</w:t>
      </w:r>
      <w:r w:rsidR="00855379" w:rsidRPr="00AA4777">
        <w:rPr>
          <w:rFonts w:ascii="Times New Roman" w:hAnsi="Times New Roman" w:cs="Times New Roman"/>
          <w:color w:val="212121"/>
          <w:sz w:val="24"/>
          <w:szCs w:val="24"/>
          <w:lang w:val="en-US"/>
        </w:rPr>
        <w:t xml:space="preserve"> </w:t>
      </w:r>
      <w:r w:rsidR="002D7695">
        <w:rPr>
          <w:rFonts w:ascii="Times New Roman" w:hAnsi="Times New Roman" w:cs="Times New Roman"/>
          <w:color w:val="212121"/>
          <w:sz w:val="24"/>
          <w:szCs w:val="24"/>
          <w:lang w:val="en-US"/>
        </w:rPr>
        <w:t>The submitted information</w:t>
      </w:r>
      <w:r w:rsidR="00855379" w:rsidRPr="00AA4777">
        <w:rPr>
          <w:rFonts w:ascii="Times New Roman" w:hAnsi="Times New Roman" w:cs="Times New Roman"/>
          <w:color w:val="212121"/>
          <w:sz w:val="24"/>
          <w:szCs w:val="24"/>
          <w:lang w:val="en-US"/>
        </w:rPr>
        <w:t xml:space="preserve"> shall include the names of the parties to the contract</w:t>
      </w:r>
      <w:r w:rsidR="009F233E" w:rsidRPr="00AA4777">
        <w:rPr>
          <w:rFonts w:ascii="Times New Roman" w:hAnsi="Times New Roman" w:cs="Times New Roman"/>
          <w:color w:val="212121"/>
          <w:sz w:val="24"/>
          <w:szCs w:val="24"/>
          <w:lang w:val="en-US"/>
        </w:rPr>
        <w:t>s</w:t>
      </w:r>
      <w:r w:rsidR="00855379" w:rsidRPr="00AA4777">
        <w:rPr>
          <w:rFonts w:ascii="Times New Roman" w:hAnsi="Times New Roman" w:cs="Times New Roman"/>
          <w:color w:val="212121"/>
          <w:sz w:val="24"/>
          <w:szCs w:val="24"/>
          <w:lang w:val="en-US"/>
        </w:rPr>
        <w:t xml:space="preserve"> or the implementing entity of the project</w:t>
      </w:r>
      <w:r w:rsidR="009F233E" w:rsidRPr="00AA4777">
        <w:rPr>
          <w:rFonts w:ascii="Times New Roman" w:hAnsi="Times New Roman" w:cs="Times New Roman"/>
          <w:color w:val="212121"/>
          <w:sz w:val="24"/>
          <w:szCs w:val="24"/>
          <w:lang w:val="en-US"/>
        </w:rPr>
        <w:t>s</w:t>
      </w:r>
      <w:r w:rsidR="00855379" w:rsidRPr="00AA4777">
        <w:rPr>
          <w:rFonts w:ascii="Times New Roman" w:hAnsi="Times New Roman" w:cs="Times New Roman"/>
          <w:color w:val="212121"/>
          <w:sz w:val="24"/>
          <w:szCs w:val="24"/>
          <w:lang w:val="en-US"/>
        </w:rPr>
        <w:t xml:space="preserve">, </w:t>
      </w:r>
      <w:r w:rsidR="00E74E3E">
        <w:rPr>
          <w:rFonts w:ascii="Times New Roman" w:hAnsi="Times New Roman" w:cs="Times New Roman"/>
          <w:color w:val="212121"/>
          <w:sz w:val="24"/>
          <w:szCs w:val="24"/>
          <w:lang w:val="en-US"/>
        </w:rPr>
        <w:t xml:space="preserve">a </w:t>
      </w:r>
      <w:r w:rsidR="00855379" w:rsidRPr="00AA4777">
        <w:rPr>
          <w:rFonts w:ascii="Times New Roman" w:hAnsi="Times New Roman" w:cs="Times New Roman"/>
          <w:color w:val="212121"/>
          <w:sz w:val="24"/>
          <w:szCs w:val="24"/>
          <w:lang w:val="en-US"/>
        </w:rPr>
        <w:t>short description of the project, place, volume and duration of the project</w:t>
      </w:r>
      <w:r w:rsidR="002D7695">
        <w:rPr>
          <w:rFonts w:ascii="Times New Roman" w:hAnsi="Times New Roman" w:cs="Times New Roman"/>
          <w:color w:val="212121"/>
          <w:sz w:val="24"/>
          <w:szCs w:val="24"/>
          <w:lang w:val="en-US"/>
        </w:rPr>
        <w:t>. F</w:t>
      </w:r>
      <w:r w:rsidR="00DB2E80" w:rsidRPr="00AA4777">
        <w:rPr>
          <w:rFonts w:ascii="Times New Roman" w:hAnsi="Times New Roman" w:cs="Times New Roman"/>
          <w:color w:val="212121"/>
          <w:sz w:val="24"/>
          <w:szCs w:val="24"/>
          <w:lang w:val="en-US"/>
        </w:rPr>
        <w:t xml:space="preserve">or ensuring the compliance with the qualification requirements specified in sub-point 3 of Point </w:t>
      </w:r>
      <w:r w:rsidR="009C51C9">
        <w:rPr>
          <w:rFonts w:ascii="Times New Roman" w:hAnsi="Times New Roman" w:cs="Times New Roman"/>
          <w:color w:val="212121"/>
          <w:sz w:val="24"/>
          <w:szCs w:val="24"/>
          <w:lang w:val="en-US"/>
        </w:rPr>
        <w:t>9</w:t>
      </w:r>
      <w:r w:rsidR="009C51C9" w:rsidRPr="00AA4777">
        <w:rPr>
          <w:rFonts w:ascii="Times New Roman" w:hAnsi="Times New Roman" w:cs="Times New Roman"/>
          <w:color w:val="212121"/>
          <w:sz w:val="24"/>
          <w:szCs w:val="24"/>
          <w:lang w:val="en-US"/>
        </w:rPr>
        <w:t xml:space="preserve"> </w:t>
      </w:r>
      <w:r w:rsidR="005075D5" w:rsidRPr="00AA4777">
        <w:rPr>
          <w:rFonts w:ascii="Times New Roman" w:hAnsi="Times New Roman" w:cs="Times New Roman"/>
          <w:sz w:val="24"/>
          <w:szCs w:val="24"/>
          <w:lang w:val="en-US"/>
        </w:rPr>
        <w:t>annual</w:t>
      </w:r>
      <w:r w:rsidR="00DB2E80" w:rsidRPr="00AA4777">
        <w:rPr>
          <w:rFonts w:ascii="Times New Roman" w:hAnsi="Times New Roman" w:cs="Times New Roman"/>
          <w:sz w:val="24"/>
          <w:szCs w:val="24"/>
          <w:lang w:val="en-US"/>
        </w:rPr>
        <w:t xml:space="preserve"> financial statements shall be presented.</w:t>
      </w:r>
    </w:p>
    <w:p w:rsidR="005075D5" w:rsidRPr="00AA024C" w:rsidRDefault="005075D5" w:rsidP="00AF09B1">
      <w:pPr>
        <w:autoSpaceDE w:val="0"/>
        <w:autoSpaceDN w:val="0"/>
        <w:adjustRightInd w:val="0"/>
        <w:ind w:firstLine="708"/>
        <w:jc w:val="both"/>
      </w:pPr>
    </w:p>
    <w:p w:rsidR="00CB258D" w:rsidRPr="00AA4777" w:rsidRDefault="00CB258D" w:rsidP="00AA4777">
      <w:pPr>
        <w:pStyle w:val="HTMLPreformatted"/>
        <w:numPr>
          <w:ilvl w:val="0"/>
          <w:numId w:val="15"/>
        </w:numPr>
        <w:shd w:val="clear" w:color="auto" w:fill="FFFFFF"/>
        <w:tabs>
          <w:tab w:val="clear" w:pos="916"/>
          <w:tab w:val="left" w:pos="709"/>
        </w:tabs>
        <w:ind w:left="142" w:firstLine="0"/>
        <w:jc w:val="both"/>
        <w:rPr>
          <w:lang w:val="en-US"/>
        </w:rPr>
      </w:pPr>
      <w:r w:rsidRPr="00AA4777">
        <w:rPr>
          <w:rFonts w:ascii="Times New Roman" w:hAnsi="Times New Roman" w:cs="Times New Roman"/>
          <w:sz w:val="24"/>
          <w:szCs w:val="24"/>
          <w:lang w:val="en-US"/>
        </w:rPr>
        <w:t>Pre-qualification applications should be submitted to</w:t>
      </w:r>
      <w:r w:rsidR="00DB2E80" w:rsidRPr="00AA4777">
        <w:rPr>
          <w:rFonts w:ascii="Times New Roman" w:hAnsi="Times New Roman" w:cs="Times New Roman"/>
          <w:sz w:val="24"/>
          <w:szCs w:val="24"/>
          <w:lang w:val="en-US"/>
        </w:rPr>
        <w:t xml:space="preserve"> Room 401, 4</w:t>
      </w:r>
      <w:r w:rsidR="00DB2E80" w:rsidRPr="00AA4777">
        <w:rPr>
          <w:rFonts w:ascii="Times New Roman" w:hAnsi="Times New Roman" w:cs="Times New Roman"/>
          <w:sz w:val="24"/>
          <w:szCs w:val="24"/>
          <w:vertAlign w:val="superscript"/>
          <w:lang w:val="en-US"/>
        </w:rPr>
        <w:t>th</w:t>
      </w:r>
      <w:r w:rsidR="00DB2E80" w:rsidRPr="00AA4777">
        <w:rPr>
          <w:rFonts w:ascii="Times New Roman" w:hAnsi="Times New Roman" w:cs="Times New Roman"/>
          <w:sz w:val="24"/>
          <w:szCs w:val="24"/>
          <w:lang w:val="en-US"/>
        </w:rPr>
        <w:t xml:space="preserve"> Floor,</w:t>
      </w:r>
      <w:r w:rsidRPr="00AA4777">
        <w:rPr>
          <w:rFonts w:ascii="Times New Roman" w:hAnsi="Times New Roman" w:cs="Times New Roman"/>
          <w:sz w:val="24"/>
          <w:szCs w:val="24"/>
          <w:lang w:val="en-US"/>
        </w:rPr>
        <w:t xml:space="preserve"> </w:t>
      </w:r>
      <w:r w:rsidR="00DB2E80" w:rsidRPr="00AA4777">
        <w:rPr>
          <w:rFonts w:ascii="Times New Roman" w:hAnsi="Times New Roman" w:cs="Times New Roman"/>
          <w:sz w:val="24"/>
          <w:szCs w:val="24"/>
          <w:lang w:val="en-US"/>
        </w:rPr>
        <w:t>13a, Vardanants Street, Yerevan,</w:t>
      </w:r>
      <w:r w:rsidR="00D40FCD" w:rsidRPr="00AA4777">
        <w:rPr>
          <w:rFonts w:ascii="Times New Roman" w:hAnsi="Times New Roman" w:cs="Times New Roman"/>
          <w:sz w:val="24"/>
          <w:szCs w:val="24"/>
          <w:shd w:val="clear" w:color="auto" w:fill="FFFFFF"/>
          <w:lang w:val="en-US"/>
        </w:rPr>
        <w:t xml:space="preserve"> 0010, Republic of Armenia</w:t>
      </w:r>
      <w:r w:rsidR="00D40FCD" w:rsidRPr="00AA4777">
        <w:rPr>
          <w:rFonts w:ascii="Times New Roman" w:hAnsi="Times New Roman" w:cs="Times New Roman"/>
          <w:sz w:val="24"/>
          <w:szCs w:val="24"/>
          <w:lang w:val="en-US"/>
        </w:rPr>
        <w:t xml:space="preserve"> </w:t>
      </w:r>
      <w:r w:rsidR="00D34EE7" w:rsidRPr="000314EC">
        <w:rPr>
          <w:rFonts w:ascii="Times New Roman" w:hAnsi="Times New Roman" w:cs="Times New Roman"/>
          <w:sz w:val="24"/>
          <w:szCs w:val="24"/>
          <w:lang w:val="en-US"/>
        </w:rPr>
        <w:t xml:space="preserve">before </w:t>
      </w:r>
      <w:r w:rsidRPr="000314EC">
        <w:rPr>
          <w:rFonts w:ascii="Times New Roman" w:hAnsi="Times New Roman" w:cs="Times New Roman"/>
          <w:sz w:val="24"/>
          <w:szCs w:val="24"/>
          <w:lang w:val="en-US"/>
        </w:rPr>
        <w:t>10:30</w:t>
      </w:r>
      <w:r w:rsidR="00DB2E80" w:rsidRPr="000314EC">
        <w:rPr>
          <w:rFonts w:ascii="Times New Roman" w:hAnsi="Times New Roman" w:cs="Times New Roman"/>
          <w:sz w:val="24"/>
          <w:szCs w:val="24"/>
          <w:lang w:val="en-US"/>
        </w:rPr>
        <w:t>AM</w:t>
      </w:r>
      <w:r w:rsidR="009C51C9" w:rsidRPr="000314EC">
        <w:rPr>
          <w:rFonts w:ascii="Times New Roman" w:hAnsi="Times New Roman" w:cs="Times New Roman"/>
          <w:sz w:val="24"/>
          <w:szCs w:val="24"/>
          <w:lang w:val="en-US"/>
        </w:rPr>
        <w:t>, January 21, 2016</w:t>
      </w:r>
      <w:r w:rsidRPr="00AA4777">
        <w:rPr>
          <w:rFonts w:ascii="Times New Roman" w:hAnsi="Times New Roman" w:cs="Times New Roman"/>
          <w:sz w:val="24"/>
          <w:szCs w:val="24"/>
          <w:lang w:val="en-US"/>
        </w:rPr>
        <w:t xml:space="preserve"> and they should be drawn up in Armenian</w:t>
      </w:r>
      <w:r w:rsidR="00855379" w:rsidRPr="00AA4777">
        <w:rPr>
          <w:rFonts w:ascii="Times New Roman" w:hAnsi="Times New Roman" w:cs="Times New Roman"/>
          <w:sz w:val="24"/>
          <w:szCs w:val="24"/>
          <w:lang w:val="en-US"/>
        </w:rPr>
        <w:t xml:space="preserve"> and English, however</w:t>
      </w:r>
      <w:r w:rsidR="00E74E3E">
        <w:rPr>
          <w:rFonts w:ascii="Times New Roman" w:hAnsi="Times New Roman" w:cs="Times New Roman"/>
          <w:sz w:val="24"/>
          <w:szCs w:val="24"/>
          <w:lang w:val="en-US"/>
        </w:rPr>
        <w:t>,</w:t>
      </w:r>
      <w:r w:rsidR="00855379" w:rsidRPr="00AA4777">
        <w:rPr>
          <w:rFonts w:ascii="Times New Roman" w:hAnsi="Times New Roman" w:cs="Times New Roman"/>
          <w:sz w:val="24"/>
          <w:szCs w:val="24"/>
          <w:lang w:val="en-US"/>
        </w:rPr>
        <w:t xml:space="preserve"> in case of </w:t>
      </w:r>
      <w:r w:rsidR="00D70095" w:rsidRPr="00AA4777">
        <w:rPr>
          <w:rFonts w:ascii="Times New Roman" w:hAnsi="Times New Roman" w:cs="Times New Roman"/>
          <w:sz w:val="24"/>
          <w:szCs w:val="24"/>
          <w:lang w:val="en-US"/>
        </w:rPr>
        <w:t>inconsistency</w:t>
      </w:r>
      <w:r w:rsidR="00855379" w:rsidRPr="00AA4777">
        <w:rPr>
          <w:rFonts w:ascii="Times New Roman" w:hAnsi="Times New Roman" w:cs="Times New Roman"/>
          <w:sz w:val="24"/>
          <w:szCs w:val="24"/>
          <w:lang w:val="en-US"/>
        </w:rPr>
        <w:t xml:space="preserve"> between the two texts the Armenian text shall prevail</w:t>
      </w:r>
      <w:r w:rsidRPr="00AA4777">
        <w:rPr>
          <w:rFonts w:ascii="Times New Roman" w:hAnsi="Times New Roman" w:cs="Times New Roman"/>
          <w:sz w:val="24"/>
          <w:szCs w:val="24"/>
          <w:lang w:val="en-US"/>
        </w:rPr>
        <w:t>.</w:t>
      </w:r>
    </w:p>
    <w:p w:rsidR="001D5320" w:rsidRPr="00AA024C" w:rsidRDefault="00D34EE7" w:rsidP="00AF09B1">
      <w:pPr>
        <w:pStyle w:val="HTMLPreformatted"/>
        <w:shd w:val="clear" w:color="auto" w:fill="FFFFFF"/>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ab/>
      </w:r>
    </w:p>
    <w:p w:rsidR="00CB258D" w:rsidRPr="00090DD3" w:rsidRDefault="00CB258D" w:rsidP="00AA4777">
      <w:pPr>
        <w:pStyle w:val="BodyTextIndent"/>
        <w:spacing w:line="240" w:lineRule="auto"/>
        <w:ind w:firstLine="708"/>
        <w:rPr>
          <w:rFonts w:ascii="Times New Roman" w:hAnsi="Times New Roman"/>
          <w:color w:val="212121"/>
          <w:sz w:val="24"/>
          <w:szCs w:val="24"/>
          <w:lang w:val="en-GB"/>
        </w:rPr>
      </w:pPr>
      <w:r w:rsidRPr="00AA4777">
        <w:rPr>
          <w:rFonts w:ascii="Times New Roman" w:hAnsi="Times New Roman"/>
          <w:i w:val="0"/>
          <w:sz w:val="24"/>
          <w:szCs w:val="24"/>
          <w:lang w:val="en-GB"/>
        </w:rPr>
        <w:t>The</w:t>
      </w:r>
      <w:r w:rsidRPr="00AA4777">
        <w:rPr>
          <w:rFonts w:ascii="Times New Roman" w:hAnsi="Times New Roman"/>
          <w:i w:val="0"/>
          <w:color w:val="212121"/>
          <w:sz w:val="24"/>
          <w:szCs w:val="24"/>
          <w:lang w:val="en-GB"/>
        </w:rPr>
        <w:t xml:space="preserve"> pre-qualification application </w:t>
      </w:r>
      <w:r w:rsidR="00C47EBC" w:rsidRPr="00AA4777">
        <w:rPr>
          <w:rFonts w:ascii="Times New Roman" w:hAnsi="Times New Roman"/>
          <w:i w:val="0"/>
          <w:color w:val="212121"/>
          <w:sz w:val="24"/>
          <w:szCs w:val="24"/>
          <w:lang w:val="en-GB"/>
        </w:rPr>
        <w:t xml:space="preserve">must </w:t>
      </w:r>
      <w:r w:rsidRPr="00AA4777">
        <w:rPr>
          <w:rFonts w:ascii="Times New Roman" w:hAnsi="Times New Roman"/>
          <w:i w:val="0"/>
          <w:color w:val="212121"/>
          <w:sz w:val="24"/>
          <w:szCs w:val="24"/>
          <w:lang w:val="en-GB"/>
        </w:rPr>
        <w:t>be submitted</w:t>
      </w:r>
      <w:r w:rsidR="00C47EBC" w:rsidRPr="00AA4777">
        <w:rPr>
          <w:rFonts w:ascii="Times New Roman" w:hAnsi="Times New Roman"/>
          <w:i w:val="0"/>
          <w:color w:val="212121"/>
          <w:sz w:val="24"/>
          <w:szCs w:val="24"/>
          <w:lang w:val="en-GB"/>
        </w:rPr>
        <w:t xml:space="preserve"> in hard copies and</w:t>
      </w:r>
      <w:r w:rsidRPr="00AA4777">
        <w:rPr>
          <w:rFonts w:ascii="Times New Roman" w:hAnsi="Times New Roman"/>
          <w:i w:val="0"/>
          <w:color w:val="212121"/>
          <w:sz w:val="24"/>
          <w:szCs w:val="24"/>
          <w:lang w:val="en-GB"/>
        </w:rPr>
        <w:t xml:space="preserve"> </w:t>
      </w:r>
      <w:r w:rsidR="00C47EBC" w:rsidRPr="00AA4777">
        <w:rPr>
          <w:rFonts w:ascii="Times New Roman" w:hAnsi="Times New Roman"/>
          <w:i w:val="0"/>
          <w:color w:val="212121"/>
          <w:sz w:val="24"/>
          <w:szCs w:val="24"/>
          <w:lang w:val="en-GB"/>
        </w:rPr>
        <w:t xml:space="preserve">in </w:t>
      </w:r>
      <w:r w:rsidRPr="00AA4777">
        <w:rPr>
          <w:rFonts w:ascii="Times New Roman" w:hAnsi="Times New Roman"/>
          <w:i w:val="0"/>
          <w:color w:val="212121"/>
          <w:sz w:val="24"/>
          <w:szCs w:val="24"/>
          <w:lang w:val="en-GB"/>
        </w:rPr>
        <w:t>electronic</w:t>
      </w:r>
      <w:r w:rsidR="00C47EBC" w:rsidRPr="00AA4777">
        <w:rPr>
          <w:rFonts w:ascii="Times New Roman" w:hAnsi="Times New Roman"/>
          <w:i w:val="0"/>
          <w:color w:val="212121"/>
          <w:sz w:val="24"/>
          <w:szCs w:val="24"/>
          <w:lang w:val="en-GB"/>
        </w:rPr>
        <w:t xml:space="preserve"> form</w:t>
      </w:r>
      <w:r w:rsidRPr="00AA4777">
        <w:rPr>
          <w:rFonts w:ascii="Times New Roman" w:hAnsi="Times New Roman"/>
          <w:i w:val="0"/>
          <w:color w:val="212121"/>
          <w:sz w:val="24"/>
          <w:szCs w:val="24"/>
          <w:lang w:val="en-GB"/>
        </w:rPr>
        <w:t>.</w:t>
      </w:r>
    </w:p>
    <w:p w:rsidR="001D5320" w:rsidRPr="00AA024C" w:rsidRDefault="00F76651" w:rsidP="00AF09B1">
      <w:pPr>
        <w:pStyle w:val="HTMLPreformatted"/>
        <w:shd w:val="clear" w:color="auto" w:fill="FFFFFF"/>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ab/>
      </w:r>
    </w:p>
    <w:p w:rsidR="007E7825" w:rsidRPr="00090DD3" w:rsidRDefault="00477C40" w:rsidP="00AA4777">
      <w:pPr>
        <w:pStyle w:val="BodyTextIndent"/>
        <w:spacing w:line="240" w:lineRule="auto"/>
        <w:ind w:firstLine="708"/>
        <w:rPr>
          <w:rFonts w:ascii="Times New Roman" w:hAnsi="Times New Roman"/>
          <w:color w:val="212121"/>
          <w:sz w:val="24"/>
          <w:szCs w:val="24"/>
          <w:lang w:val="en-GB"/>
        </w:rPr>
      </w:pPr>
      <w:r w:rsidRPr="00AA4777">
        <w:rPr>
          <w:rFonts w:ascii="Times New Roman" w:hAnsi="Times New Roman"/>
          <w:i w:val="0"/>
          <w:color w:val="212121"/>
          <w:sz w:val="24"/>
          <w:szCs w:val="24"/>
          <w:lang w:val="en-GB"/>
        </w:rPr>
        <w:t>T</w:t>
      </w:r>
      <w:r w:rsidR="00D34EE7" w:rsidRPr="00AA4777">
        <w:rPr>
          <w:rFonts w:ascii="Times New Roman" w:hAnsi="Times New Roman"/>
          <w:i w:val="0"/>
          <w:color w:val="212121"/>
          <w:sz w:val="24"/>
          <w:szCs w:val="24"/>
          <w:lang w:val="en-GB"/>
        </w:rPr>
        <w:t>he</w:t>
      </w:r>
      <w:r w:rsidRPr="00AA4777">
        <w:rPr>
          <w:rFonts w:ascii="Times New Roman" w:hAnsi="Times New Roman"/>
          <w:i w:val="0"/>
          <w:color w:val="212121"/>
          <w:sz w:val="24"/>
          <w:szCs w:val="24"/>
          <w:lang w:val="en-GB"/>
        </w:rPr>
        <w:t xml:space="preserve"> </w:t>
      </w:r>
      <w:r w:rsidR="00D34EE7" w:rsidRPr="00AA4777">
        <w:rPr>
          <w:rFonts w:ascii="Times New Roman" w:hAnsi="Times New Roman"/>
          <w:i w:val="0"/>
          <w:color w:val="212121"/>
          <w:sz w:val="24"/>
          <w:szCs w:val="24"/>
          <w:lang w:val="en-GB"/>
        </w:rPr>
        <w:t>application and related documents</w:t>
      </w:r>
      <w:r w:rsidRPr="00AA4777">
        <w:rPr>
          <w:rFonts w:ascii="Times New Roman" w:hAnsi="Times New Roman"/>
          <w:i w:val="0"/>
          <w:color w:val="212121"/>
          <w:sz w:val="24"/>
          <w:szCs w:val="24"/>
          <w:lang w:val="en-GB"/>
        </w:rPr>
        <w:t xml:space="preserve">, as well </w:t>
      </w:r>
      <w:r w:rsidR="00E74E3E">
        <w:rPr>
          <w:rFonts w:ascii="Times New Roman" w:hAnsi="Times New Roman"/>
          <w:i w:val="0"/>
          <w:color w:val="212121"/>
          <w:sz w:val="24"/>
          <w:szCs w:val="24"/>
          <w:lang w:val="en-GB"/>
        </w:rPr>
        <w:t xml:space="preserve">as </w:t>
      </w:r>
      <w:r w:rsidRPr="00AA4777">
        <w:rPr>
          <w:rFonts w:ascii="Times New Roman" w:hAnsi="Times New Roman"/>
          <w:i w:val="0"/>
          <w:color w:val="212121"/>
          <w:sz w:val="24"/>
          <w:szCs w:val="24"/>
          <w:lang w:val="en-GB"/>
        </w:rPr>
        <w:t>electronic copy of application and related documents (on CD/DVD)</w:t>
      </w:r>
      <w:r w:rsidR="00D34EE7" w:rsidRPr="00AA4777">
        <w:rPr>
          <w:rFonts w:ascii="Times New Roman" w:hAnsi="Times New Roman"/>
          <w:i w:val="0"/>
          <w:color w:val="212121"/>
          <w:sz w:val="24"/>
          <w:szCs w:val="24"/>
          <w:lang w:val="en-GB"/>
        </w:rPr>
        <w:t xml:space="preserve"> are put into an envelope, which is </w:t>
      </w:r>
      <w:r w:rsidRPr="00AA4777">
        <w:rPr>
          <w:rFonts w:ascii="Times New Roman" w:hAnsi="Times New Roman"/>
          <w:i w:val="0"/>
          <w:color w:val="212121"/>
          <w:sz w:val="24"/>
          <w:szCs w:val="24"/>
          <w:lang w:val="en-GB"/>
        </w:rPr>
        <w:t xml:space="preserve">sealed </w:t>
      </w:r>
      <w:r w:rsidR="00D34EE7" w:rsidRPr="00AA4777">
        <w:rPr>
          <w:rFonts w:ascii="Times New Roman" w:hAnsi="Times New Roman"/>
          <w:i w:val="0"/>
          <w:color w:val="212121"/>
          <w:sz w:val="24"/>
          <w:szCs w:val="24"/>
          <w:lang w:val="en-GB"/>
        </w:rPr>
        <w:t>by the applicant. The Envelope contains</w:t>
      </w:r>
      <w:r w:rsidRPr="00AA4777">
        <w:rPr>
          <w:rFonts w:ascii="Times New Roman" w:hAnsi="Times New Roman"/>
          <w:i w:val="0"/>
          <w:color w:val="212121"/>
          <w:sz w:val="24"/>
          <w:szCs w:val="24"/>
          <w:lang w:val="en-GB"/>
        </w:rPr>
        <w:t xml:space="preserve"> one (1) original and three (3) copies of application documentation in Armenian, one (1) original and one (1) copy of application documentation</w:t>
      </w:r>
      <w:r w:rsidR="007F3736" w:rsidRPr="00AA4777">
        <w:rPr>
          <w:rFonts w:ascii="Times New Roman" w:hAnsi="Times New Roman"/>
          <w:i w:val="0"/>
          <w:color w:val="212121"/>
          <w:sz w:val="24"/>
          <w:szCs w:val="24"/>
          <w:lang w:val="en-GB"/>
        </w:rPr>
        <w:t xml:space="preserve"> in English</w:t>
      </w:r>
      <w:r w:rsidRPr="00AA4777">
        <w:rPr>
          <w:rFonts w:ascii="Times New Roman" w:hAnsi="Times New Roman"/>
          <w:i w:val="0"/>
          <w:color w:val="212121"/>
          <w:sz w:val="24"/>
          <w:szCs w:val="24"/>
          <w:lang w:val="en-GB"/>
        </w:rPr>
        <w:t>, as well as one (1) CD/DVD</w:t>
      </w:r>
      <w:r w:rsidR="0014030C" w:rsidRPr="00AA4777">
        <w:rPr>
          <w:rFonts w:ascii="Times New Roman" w:hAnsi="Times New Roman"/>
          <w:i w:val="0"/>
          <w:color w:val="212121"/>
          <w:sz w:val="24"/>
          <w:szCs w:val="24"/>
          <w:lang w:val="en-GB"/>
        </w:rPr>
        <w:t xml:space="preserve"> with electronic version of application documentation in Armenian and English. </w:t>
      </w:r>
      <w:r w:rsidR="00D34EE7" w:rsidRPr="00AA4777">
        <w:rPr>
          <w:rFonts w:ascii="Times New Roman" w:hAnsi="Times New Roman"/>
          <w:i w:val="0"/>
          <w:color w:val="212121"/>
          <w:sz w:val="24"/>
          <w:szCs w:val="24"/>
          <w:lang w:val="en-GB"/>
        </w:rPr>
        <w:t xml:space="preserve">The </w:t>
      </w:r>
      <w:r w:rsidR="00EF7423" w:rsidRPr="00AA4777">
        <w:rPr>
          <w:rFonts w:ascii="Times New Roman" w:hAnsi="Times New Roman"/>
          <w:i w:val="0"/>
          <w:color w:val="212121"/>
          <w:sz w:val="24"/>
          <w:szCs w:val="24"/>
          <w:lang w:val="en-GB"/>
        </w:rPr>
        <w:t>words "</w:t>
      </w:r>
      <w:r w:rsidR="0014030C" w:rsidRPr="00AA4777">
        <w:rPr>
          <w:rFonts w:ascii="Times New Roman" w:hAnsi="Times New Roman"/>
          <w:i w:val="0"/>
          <w:color w:val="212121"/>
          <w:sz w:val="24"/>
          <w:szCs w:val="24"/>
          <w:lang w:val="en-GB"/>
        </w:rPr>
        <w:t>Original</w:t>
      </w:r>
      <w:r w:rsidR="00D34EE7" w:rsidRPr="00AA4777">
        <w:rPr>
          <w:rFonts w:ascii="Times New Roman" w:hAnsi="Times New Roman"/>
          <w:i w:val="0"/>
          <w:color w:val="212121"/>
          <w:sz w:val="24"/>
          <w:szCs w:val="24"/>
          <w:lang w:val="en-GB"/>
        </w:rPr>
        <w:t>" and "</w:t>
      </w:r>
      <w:r w:rsidR="0014030C" w:rsidRPr="00AA4777">
        <w:rPr>
          <w:rFonts w:ascii="Times New Roman" w:hAnsi="Times New Roman"/>
          <w:i w:val="0"/>
          <w:color w:val="212121"/>
          <w:sz w:val="24"/>
          <w:szCs w:val="24"/>
          <w:lang w:val="en-GB"/>
        </w:rPr>
        <w:t>C</w:t>
      </w:r>
      <w:r w:rsidR="00D34EE7" w:rsidRPr="00AA4777">
        <w:rPr>
          <w:rFonts w:ascii="Times New Roman" w:hAnsi="Times New Roman"/>
          <w:i w:val="0"/>
          <w:color w:val="212121"/>
          <w:sz w:val="24"/>
          <w:szCs w:val="24"/>
          <w:lang w:val="en-GB"/>
        </w:rPr>
        <w:t>opy" are written respectively on the packages of the documents</w:t>
      </w:r>
      <w:r w:rsidR="007E7825" w:rsidRPr="00AA4777">
        <w:rPr>
          <w:rFonts w:ascii="Times New Roman" w:hAnsi="Times New Roman"/>
          <w:i w:val="0"/>
          <w:color w:val="212121"/>
          <w:sz w:val="24"/>
          <w:szCs w:val="24"/>
          <w:lang w:val="en-GB"/>
        </w:rPr>
        <w:t xml:space="preserve">. </w:t>
      </w:r>
      <w:r w:rsidR="006A0619" w:rsidRPr="00AA4777">
        <w:rPr>
          <w:rFonts w:ascii="Times New Roman" w:hAnsi="Times New Roman"/>
          <w:i w:val="0"/>
          <w:color w:val="212121"/>
          <w:sz w:val="24"/>
          <w:szCs w:val="24"/>
          <w:lang w:val="en-GB"/>
        </w:rPr>
        <w:t>The envelope and the d</w:t>
      </w:r>
      <w:r w:rsidR="007E7825" w:rsidRPr="00AA4777">
        <w:rPr>
          <w:rFonts w:ascii="Times New Roman" w:hAnsi="Times New Roman"/>
          <w:i w:val="0"/>
          <w:color w:val="212121"/>
          <w:sz w:val="24"/>
          <w:szCs w:val="24"/>
          <w:lang w:val="en-GB"/>
        </w:rPr>
        <w:t>ocuments</w:t>
      </w:r>
      <w:r w:rsidR="00325E5A" w:rsidRPr="00AA4777">
        <w:rPr>
          <w:rFonts w:ascii="Times New Roman" w:hAnsi="Times New Roman"/>
          <w:i w:val="0"/>
          <w:color w:val="212121"/>
          <w:sz w:val="24"/>
          <w:szCs w:val="24"/>
          <w:lang w:val="en-GB"/>
        </w:rPr>
        <w:t xml:space="preserve"> </w:t>
      </w:r>
      <w:r w:rsidR="006A0619" w:rsidRPr="00AA4777">
        <w:rPr>
          <w:rFonts w:ascii="Times New Roman" w:hAnsi="Times New Roman"/>
          <w:i w:val="0"/>
          <w:color w:val="212121"/>
          <w:sz w:val="24"/>
          <w:szCs w:val="24"/>
          <w:lang w:val="en-GB"/>
        </w:rPr>
        <w:t>regard</w:t>
      </w:r>
      <w:r w:rsidR="00325E5A" w:rsidRPr="00AA4777">
        <w:rPr>
          <w:rFonts w:ascii="Times New Roman" w:hAnsi="Times New Roman"/>
          <w:i w:val="0"/>
          <w:color w:val="212121"/>
          <w:sz w:val="24"/>
          <w:szCs w:val="24"/>
          <w:lang w:val="en-GB"/>
        </w:rPr>
        <w:t>ing</w:t>
      </w:r>
      <w:r w:rsidR="006A0619" w:rsidRPr="00AA4777">
        <w:rPr>
          <w:rFonts w:ascii="Times New Roman" w:hAnsi="Times New Roman"/>
          <w:i w:val="0"/>
          <w:color w:val="212121"/>
          <w:sz w:val="24"/>
          <w:szCs w:val="24"/>
          <w:lang w:val="en-GB"/>
        </w:rPr>
        <w:t xml:space="preserve"> this </w:t>
      </w:r>
      <w:r w:rsidR="007E7825" w:rsidRPr="00AA4777">
        <w:rPr>
          <w:rFonts w:ascii="Times New Roman" w:hAnsi="Times New Roman"/>
          <w:i w:val="0"/>
          <w:color w:val="212121"/>
          <w:sz w:val="24"/>
          <w:szCs w:val="24"/>
          <w:lang w:val="en-GB"/>
        </w:rPr>
        <w:t xml:space="preserve">invitation </w:t>
      </w:r>
      <w:r w:rsidR="006A0619" w:rsidRPr="00AA4777">
        <w:rPr>
          <w:rFonts w:ascii="Times New Roman" w:hAnsi="Times New Roman"/>
          <w:i w:val="0"/>
          <w:color w:val="212121"/>
          <w:sz w:val="24"/>
          <w:szCs w:val="24"/>
          <w:lang w:val="en-GB"/>
        </w:rPr>
        <w:t>are</w:t>
      </w:r>
      <w:r w:rsidR="007E7825" w:rsidRPr="00AA4777">
        <w:rPr>
          <w:rFonts w:ascii="Times New Roman" w:hAnsi="Times New Roman"/>
          <w:i w:val="0"/>
          <w:color w:val="212121"/>
          <w:sz w:val="24"/>
          <w:szCs w:val="24"/>
          <w:lang w:val="en-GB"/>
        </w:rPr>
        <w:t xml:space="preserve"> signed by the </w:t>
      </w:r>
      <w:r w:rsidR="006A0619" w:rsidRPr="00AA4777">
        <w:rPr>
          <w:rFonts w:ascii="Times New Roman" w:hAnsi="Times New Roman"/>
          <w:i w:val="0"/>
          <w:color w:val="212121"/>
          <w:sz w:val="24"/>
          <w:szCs w:val="24"/>
          <w:lang w:val="en-GB"/>
        </w:rPr>
        <w:t xml:space="preserve">person </w:t>
      </w:r>
      <w:r w:rsidR="00325E5A" w:rsidRPr="00AA4777">
        <w:rPr>
          <w:rFonts w:ascii="Times New Roman" w:hAnsi="Times New Roman"/>
          <w:i w:val="0"/>
          <w:color w:val="212121"/>
          <w:sz w:val="24"/>
          <w:szCs w:val="24"/>
          <w:lang w:val="en-GB"/>
        </w:rPr>
        <w:t xml:space="preserve">who is submitting them </w:t>
      </w:r>
      <w:r w:rsidR="006A0619" w:rsidRPr="00AA4777">
        <w:rPr>
          <w:rFonts w:ascii="Times New Roman" w:hAnsi="Times New Roman"/>
          <w:i w:val="0"/>
          <w:color w:val="212121"/>
          <w:sz w:val="24"/>
          <w:szCs w:val="24"/>
          <w:lang w:val="en-GB"/>
        </w:rPr>
        <w:t xml:space="preserve">or the </w:t>
      </w:r>
      <w:r w:rsidR="007E7825" w:rsidRPr="00AA4777">
        <w:rPr>
          <w:rFonts w:ascii="Times New Roman" w:hAnsi="Times New Roman"/>
          <w:i w:val="0"/>
          <w:color w:val="212121"/>
          <w:sz w:val="24"/>
          <w:szCs w:val="24"/>
          <w:lang w:val="en-GB"/>
        </w:rPr>
        <w:lastRenderedPageBreak/>
        <w:t xml:space="preserve">authorized person representing </w:t>
      </w:r>
      <w:r w:rsidR="006A0619" w:rsidRPr="00AA4777">
        <w:rPr>
          <w:rFonts w:ascii="Times New Roman" w:hAnsi="Times New Roman"/>
          <w:i w:val="0"/>
          <w:color w:val="212121"/>
          <w:sz w:val="24"/>
          <w:szCs w:val="24"/>
          <w:lang w:val="en-GB"/>
        </w:rPr>
        <w:t>him</w:t>
      </w:r>
      <w:r w:rsidR="007E7825" w:rsidRPr="00AA4777">
        <w:rPr>
          <w:rFonts w:ascii="Times New Roman" w:hAnsi="Times New Roman"/>
          <w:i w:val="0"/>
          <w:color w:val="212121"/>
          <w:sz w:val="24"/>
          <w:szCs w:val="24"/>
          <w:lang w:val="en-GB"/>
        </w:rPr>
        <w:t xml:space="preserve"> (</w:t>
      </w:r>
      <w:r w:rsidR="006A0619" w:rsidRPr="00AA4777">
        <w:rPr>
          <w:rFonts w:ascii="Times New Roman" w:hAnsi="Times New Roman"/>
          <w:i w:val="0"/>
          <w:color w:val="212121"/>
          <w:sz w:val="24"/>
          <w:szCs w:val="24"/>
          <w:lang w:val="en-GB"/>
        </w:rPr>
        <w:t xml:space="preserve">hereinafter </w:t>
      </w:r>
      <w:r w:rsidR="0014030C" w:rsidRPr="00AA4777">
        <w:rPr>
          <w:rFonts w:ascii="Times New Roman" w:hAnsi="Times New Roman"/>
          <w:i w:val="0"/>
          <w:color w:val="212121"/>
          <w:sz w:val="24"/>
          <w:szCs w:val="24"/>
          <w:lang w:val="en-GB"/>
        </w:rPr>
        <w:t>referred to as “</w:t>
      </w:r>
      <w:r w:rsidR="006A0619" w:rsidRPr="00AA4777">
        <w:rPr>
          <w:rFonts w:ascii="Times New Roman" w:hAnsi="Times New Roman"/>
          <w:i w:val="0"/>
          <w:color w:val="212121"/>
          <w:sz w:val="24"/>
          <w:szCs w:val="24"/>
          <w:lang w:val="en-GB"/>
        </w:rPr>
        <w:t>A</w:t>
      </w:r>
      <w:r w:rsidR="007E7825" w:rsidRPr="00AA4777">
        <w:rPr>
          <w:rFonts w:ascii="Times New Roman" w:hAnsi="Times New Roman"/>
          <w:i w:val="0"/>
          <w:color w:val="212121"/>
          <w:sz w:val="24"/>
          <w:szCs w:val="24"/>
          <w:lang w:val="en-GB"/>
        </w:rPr>
        <w:t>gent</w:t>
      </w:r>
      <w:r w:rsidR="0014030C" w:rsidRPr="00AA4777">
        <w:rPr>
          <w:rFonts w:ascii="Times New Roman" w:hAnsi="Times New Roman"/>
          <w:i w:val="0"/>
          <w:color w:val="212121"/>
          <w:sz w:val="24"/>
          <w:szCs w:val="24"/>
          <w:lang w:val="en-GB"/>
        </w:rPr>
        <w:t>”</w:t>
      </w:r>
      <w:r w:rsidR="007E7825" w:rsidRPr="00AA4777">
        <w:rPr>
          <w:rFonts w:ascii="Times New Roman" w:hAnsi="Times New Roman"/>
          <w:i w:val="0"/>
          <w:color w:val="212121"/>
          <w:sz w:val="24"/>
          <w:szCs w:val="24"/>
          <w:lang w:val="en-GB"/>
        </w:rPr>
        <w:t xml:space="preserve">). If the application is </w:t>
      </w:r>
      <w:r w:rsidR="00684CC3" w:rsidRPr="00AA4777">
        <w:rPr>
          <w:rFonts w:ascii="Times New Roman" w:hAnsi="Times New Roman"/>
          <w:i w:val="0"/>
          <w:color w:val="212121"/>
          <w:sz w:val="24"/>
          <w:szCs w:val="24"/>
          <w:lang w:val="en-GB"/>
        </w:rPr>
        <w:t>submitted</w:t>
      </w:r>
      <w:r w:rsidR="007E7825" w:rsidRPr="00AA4777">
        <w:rPr>
          <w:rFonts w:ascii="Times New Roman" w:hAnsi="Times New Roman"/>
          <w:i w:val="0"/>
          <w:color w:val="212121"/>
          <w:sz w:val="24"/>
          <w:szCs w:val="24"/>
          <w:lang w:val="en-GB"/>
        </w:rPr>
        <w:t xml:space="preserve"> by</w:t>
      </w:r>
      <w:r w:rsidR="00684CC3" w:rsidRPr="00AA4777">
        <w:rPr>
          <w:rFonts w:ascii="Times New Roman" w:hAnsi="Times New Roman"/>
          <w:i w:val="0"/>
          <w:color w:val="212121"/>
          <w:sz w:val="24"/>
          <w:szCs w:val="24"/>
          <w:lang w:val="en-GB"/>
        </w:rPr>
        <w:t xml:space="preserve"> the </w:t>
      </w:r>
      <w:r w:rsidR="0014030C" w:rsidRPr="00AA4777">
        <w:rPr>
          <w:rFonts w:ascii="Times New Roman" w:hAnsi="Times New Roman"/>
          <w:i w:val="0"/>
          <w:color w:val="212121"/>
          <w:sz w:val="24"/>
          <w:szCs w:val="24"/>
          <w:lang w:val="en-GB"/>
        </w:rPr>
        <w:t>Agent</w:t>
      </w:r>
      <w:r w:rsidR="00684CC3" w:rsidRPr="00AA4777">
        <w:rPr>
          <w:rFonts w:ascii="Times New Roman" w:hAnsi="Times New Roman"/>
          <w:i w:val="0"/>
          <w:color w:val="212121"/>
          <w:sz w:val="24"/>
          <w:szCs w:val="24"/>
          <w:lang w:val="en-GB"/>
        </w:rPr>
        <w:t xml:space="preserve">, a document testifying his authorization </w:t>
      </w:r>
      <w:r w:rsidR="00E74E3E" w:rsidRPr="00AA4777">
        <w:rPr>
          <w:rFonts w:ascii="Times New Roman" w:hAnsi="Times New Roman"/>
          <w:i w:val="0"/>
          <w:color w:val="212121"/>
          <w:sz w:val="24"/>
          <w:szCs w:val="24"/>
          <w:lang w:val="en-GB"/>
        </w:rPr>
        <w:t>sh</w:t>
      </w:r>
      <w:r w:rsidR="00E74E3E">
        <w:rPr>
          <w:rFonts w:ascii="Times New Roman" w:hAnsi="Times New Roman"/>
          <w:i w:val="0"/>
          <w:color w:val="212121"/>
          <w:sz w:val="24"/>
          <w:szCs w:val="24"/>
          <w:lang w:val="en-GB"/>
        </w:rPr>
        <w:t>all</w:t>
      </w:r>
      <w:r w:rsidR="00E74E3E" w:rsidRPr="00AA4777">
        <w:rPr>
          <w:rFonts w:ascii="Times New Roman" w:hAnsi="Times New Roman"/>
          <w:i w:val="0"/>
          <w:color w:val="212121"/>
          <w:sz w:val="24"/>
          <w:szCs w:val="24"/>
          <w:lang w:val="en-GB"/>
        </w:rPr>
        <w:t xml:space="preserve"> </w:t>
      </w:r>
      <w:r w:rsidR="00684CC3" w:rsidRPr="00AA4777">
        <w:rPr>
          <w:rFonts w:ascii="Times New Roman" w:hAnsi="Times New Roman"/>
          <w:i w:val="0"/>
          <w:color w:val="212121"/>
          <w:sz w:val="24"/>
          <w:szCs w:val="24"/>
          <w:lang w:val="en-GB"/>
        </w:rPr>
        <w:t xml:space="preserve">be </w:t>
      </w:r>
      <w:r w:rsidR="007E7825" w:rsidRPr="00AA4777">
        <w:rPr>
          <w:rFonts w:ascii="Times New Roman" w:hAnsi="Times New Roman"/>
          <w:i w:val="0"/>
          <w:color w:val="212121"/>
          <w:sz w:val="24"/>
          <w:szCs w:val="24"/>
          <w:lang w:val="en-GB"/>
        </w:rPr>
        <w:t xml:space="preserve">submitted </w:t>
      </w:r>
      <w:r w:rsidR="00684CC3" w:rsidRPr="00AA4777">
        <w:rPr>
          <w:rFonts w:ascii="Times New Roman" w:hAnsi="Times New Roman"/>
          <w:i w:val="0"/>
          <w:color w:val="212121"/>
          <w:sz w:val="24"/>
          <w:szCs w:val="24"/>
          <w:lang w:val="en-GB"/>
        </w:rPr>
        <w:t>with the application.</w:t>
      </w:r>
    </w:p>
    <w:p w:rsidR="0014030C" w:rsidRPr="00AA4777" w:rsidRDefault="0014030C" w:rsidP="00AF09B1">
      <w:pPr>
        <w:pStyle w:val="HTMLPreformatted"/>
        <w:shd w:val="clear" w:color="auto" w:fill="FFFFFF"/>
        <w:jc w:val="both"/>
        <w:rPr>
          <w:rFonts w:ascii="Times New Roman" w:hAnsi="Times New Roman" w:cs="Times New Roman"/>
          <w:color w:val="212121"/>
          <w:sz w:val="24"/>
          <w:szCs w:val="24"/>
          <w:lang w:val="en-GB"/>
        </w:rPr>
      </w:pPr>
    </w:p>
    <w:p w:rsidR="0014030C" w:rsidRPr="00AA4777" w:rsidRDefault="0014030C" w:rsidP="00AA4777">
      <w:pPr>
        <w:pStyle w:val="BodyTextIndent"/>
        <w:spacing w:line="240" w:lineRule="auto"/>
        <w:ind w:firstLine="708"/>
        <w:rPr>
          <w:rFonts w:ascii="Times New Roman" w:hAnsi="Times New Roman"/>
          <w:color w:val="212121"/>
          <w:sz w:val="24"/>
          <w:szCs w:val="24"/>
          <w:lang w:val="en-GB"/>
        </w:rPr>
      </w:pPr>
      <w:r w:rsidRPr="00AA4777">
        <w:rPr>
          <w:rFonts w:ascii="Times New Roman" w:hAnsi="Times New Roman"/>
          <w:i w:val="0"/>
          <w:color w:val="212121"/>
          <w:sz w:val="24"/>
          <w:szCs w:val="24"/>
          <w:lang w:val="en-GB"/>
        </w:rPr>
        <w:t xml:space="preserve">The envelope </w:t>
      </w:r>
      <w:r w:rsidR="00E928D3" w:rsidRPr="00AA4777">
        <w:rPr>
          <w:rFonts w:ascii="Times New Roman" w:hAnsi="Times New Roman"/>
          <w:i w:val="0"/>
          <w:color w:val="212121"/>
          <w:sz w:val="24"/>
          <w:szCs w:val="24"/>
          <w:lang w:val="en-GB"/>
        </w:rPr>
        <w:t>shall be marked (in language of submitted application):</w:t>
      </w:r>
    </w:p>
    <w:p w:rsidR="00E928D3" w:rsidRPr="00AA4777" w:rsidRDefault="00E928D3" w:rsidP="00AF09B1">
      <w:pPr>
        <w:pStyle w:val="HTMLPreformatted"/>
        <w:shd w:val="clear" w:color="auto" w:fill="FFFFFF"/>
        <w:jc w:val="both"/>
        <w:rPr>
          <w:rFonts w:ascii="Times New Roman" w:hAnsi="Times New Roman" w:cs="Times New Roman"/>
          <w:color w:val="212121"/>
          <w:sz w:val="24"/>
          <w:szCs w:val="24"/>
          <w:lang w:val="en-GB"/>
        </w:rPr>
      </w:pPr>
    </w:p>
    <w:p w:rsidR="00E928D3" w:rsidRPr="00AA4777" w:rsidRDefault="007F3736" w:rsidP="00AA4777">
      <w:pPr>
        <w:pStyle w:val="HTMLPreformatted"/>
        <w:numPr>
          <w:ilvl w:val="0"/>
          <w:numId w:val="12"/>
        </w:numPr>
        <w:shd w:val="clear" w:color="auto" w:fill="FFFFFF"/>
        <w:jc w:val="both"/>
        <w:rPr>
          <w:rFonts w:ascii="Times New Roman" w:hAnsi="Times New Roman" w:cs="Times New Roman"/>
          <w:color w:val="212121"/>
          <w:sz w:val="24"/>
          <w:szCs w:val="24"/>
          <w:lang w:val="en-GB"/>
        </w:rPr>
      </w:pPr>
      <w:r w:rsidRPr="00AA4777">
        <w:rPr>
          <w:rFonts w:ascii="Times New Roman" w:hAnsi="Times New Roman" w:cs="Times New Roman"/>
          <w:color w:val="212121"/>
          <w:sz w:val="24"/>
          <w:szCs w:val="24"/>
          <w:lang w:val="en-GB"/>
        </w:rPr>
        <w:t>t</w:t>
      </w:r>
      <w:r w:rsidR="00E928D3" w:rsidRPr="00AA4777">
        <w:rPr>
          <w:rFonts w:ascii="Times New Roman" w:hAnsi="Times New Roman" w:cs="Times New Roman"/>
          <w:color w:val="212121"/>
          <w:sz w:val="24"/>
          <w:szCs w:val="24"/>
          <w:lang w:val="en-GB"/>
        </w:rPr>
        <w:t>he name of Client and the place (address) of submission of the application;</w:t>
      </w:r>
    </w:p>
    <w:p w:rsidR="00E928D3" w:rsidRPr="00AA4777" w:rsidRDefault="007F3736" w:rsidP="00AA4777">
      <w:pPr>
        <w:pStyle w:val="HTMLPreformatted"/>
        <w:numPr>
          <w:ilvl w:val="0"/>
          <w:numId w:val="12"/>
        </w:numPr>
        <w:shd w:val="clear" w:color="auto" w:fill="FFFFFF"/>
        <w:jc w:val="both"/>
        <w:rPr>
          <w:rFonts w:ascii="Times New Roman" w:hAnsi="Times New Roman" w:cs="Times New Roman"/>
          <w:color w:val="212121"/>
          <w:sz w:val="24"/>
          <w:szCs w:val="24"/>
          <w:lang w:val="en-GB"/>
        </w:rPr>
      </w:pPr>
      <w:r w:rsidRPr="00AA4777">
        <w:rPr>
          <w:rFonts w:ascii="Times New Roman" w:hAnsi="Times New Roman" w:cs="Times New Roman"/>
          <w:color w:val="212121"/>
          <w:sz w:val="24"/>
          <w:szCs w:val="24"/>
          <w:lang w:val="en-GB"/>
        </w:rPr>
        <w:t>t</w:t>
      </w:r>
      <w:r w:rsidR="00E928D3" w:rsidRPr="00AA4777">
        <w:rPr>
          <w:rFonts w:ascii="Times New Roman" w:hAnsi="Times New Roman" w:cs="Times New Roman"/>
          <w:color w:val="212121"/>
          <w:sz w:val="24"/>
          <w:szCs w:val="24"/>
          <w:lang w:val="en-GB"/>
        </w:rPr>
        <w:t>he code number of the pre-qualification procedure;</w:t>
      </w:r>
    </w:p>
    <w:p w:rsidR="00E928D3" w:rsidRPr="00AA4777" w:rsidRDefault="007F3736" w:rsidP="00AA4777">
      <w:pPr>
        <w:pStyle w:val="HTMLPreformatted"/>
        <w:numPr>
          <w:ilvl w:val="0"/>
          <w:numId w:val="12"/>
        </w:numPr>
        <w:shd w:val="clear" w:color="auto" w:fill="FFFFFF"/>
        <w:jc w:val="both"/>
        <w:rPr>
          <w:rFonts w:ascii="Times New Roman" w:hAnsi="Times New Roman" w:cs="Times New Roman"/>
          <w:color w:val="212121"/>
          <w:sz w:val="24"/>
          <w:szCs w:val="24"/>
          <w:lang w:val="en-GB"/>
        </w:rPr>
      </w:pPr>
      <w:r w:rsidRPr="00AA4777">
        <w:rPr>
          <w:rFonts w:ascii="Times New Roman" w:hAnsi="Times New Roman" w:cs="Times New Roman"/>
          <w:color w:val="212121"/>
          <w:sz w:val="24"/>
          <w:szCs w:val="24"/>
          <w:lang w:val="en-GB"/>
        </w:rPr>
        <w:t xml:space="preserve">a warning </w:t>
      </w:r>
      <w:r w:rsidR="00E928D3" w:rsidRPr="00AA4777">
        <w:rPr>
          <w:rFonts w:ascii="Times New Roman" w:hAnsi="Times New Roman" w:cs="Times New Roman"/>
          <w:color w:val="212121"/>
          <w:sz w:val="24"/>
          <w:szCs w:val="24"/>
          <w:lang w:val="en-GB"/>
        </w:rPr>
        <w:t>“Do Not Open before Application Opening Session”;</w:t>
      </w:r>
    </w:p>
    <w:p w:rsidR="00E928D3" w:rsidRPr="00AA4777" w:rsidRDefault="007F3736" w:rsidP="00AA4777">
      <w:pPr>
        <w:pStyle w:val="HTMLPreformatted"/>
        <w:numPr>
          <w:ilvl w:val="0"/>
          <w:numId w:val="12"/>
        </w:numPr>
        <w:shd w:val="clear" w:color="auto" w:fill="FFFFFF"/>
        <w:jc w:val="both"/>
        <w:rPr>
          <w:rFonts w:ascii="Times New Roman" w:hAnsi="Times New Roman" w:cs="Times New Roman"/>
          <w:color w:val="212121"/>
          <w:sz w:val="24"/>
          <w:szCs w:val="24"/>
          <w:lang w:val="en-GB"/>
        </w:rPr>
      </w:pPr>
      <w:r w:rsidRPr="00AA4777">
        <w:rPr>
          <w:rFonts w:ascii="Times New Roman" w:hAnsi="Times New Roman" w:cs="Times New Roman"/>
          <w:color w:val="212121"/>
          <w:sz w:val="24"/>
          <w:szCs w:val="24"/>
          <w:lang w:val="en-GB"/>
        </w:rPr>
        <w:t>t</w:t>
      </w:r>
      <w:r w:rsidR="00E928D3" w:rsidRPr="00AA4777">
        <w:rPr>
          <w:rFonts w:ascii="Times New Roman" w:hAnsi="Times New Roman" w:cs="Times New Roman"/>
          <w:color w:val="212121"/>
          <w:sz w:val="24"/>
          <w:szCs w:val="24"/>
          <w:lang w:val="en-GB"/>
        </w:rPr>
        <w:t>he name of applicant, address and telephone number.</w:t>
      </w:r>
    </w:p>
    <w:p w:rsidR="0014030C" w:rsidRPr="00AA024C" w:rsidRDefault="0014030C" w:rsidP="00AF09B1">
      <w:pPr>
        <w:pStyle w:val="HTMLPreformatted"/>
        <w:shd w:val="clear" w:color="auto" w:fill="FFFFFF"/>
        <w:jc w:val="both"/>
        <w:rPr>
          <w:rFonts w:ascii="Times New Roman" w:hAnsi="Times New Roman" w:cs="Times New Roman"/>
          <w:color w:val="212121"/>
          <w:sz w:val="24"/>
          <w:szCs w:val="24"/>
          <w:lang w:val="en-GB"/>
        </w:rPr>
      </w:pPr>
    </w:p>
    <w:p w:rsidR="007E7825" w:rsidRPr="00AA024C" w:rsidRDefault="007E7825" w:rsidP="00AF09B1">
      <w:pPr>
        <w:jc w:val="both"/>
      </w:pPr>
      <w:r w:rsidRPr="00AA024C">
        <w:rPr>
          <w:color w:val="212121"/>
        </w:rPr>
        <w:tab/>
        <w:t xml:space="preserve">The opening of </w:t>
      </w:r>
      <w:r w:rsidR="00F76651" w:rsidRPr="00AA024C">
        <w:rPr>
          <w:color w:val="212121"/>
        </w:rPr>
        <w:t>the bids</w:t>
      </w:r>
      <w:r w:rsidRPr="00AA024C">
        <w:rPr>
          <w:color w:val="212121"/>
        </w:rPr>
        <w:t xml:space="preserve"> will take place in</w:t>
      </w:r>
      <w:r w:rsidR="00E928D3" w:rsidRPr="00AA024C">
        <w:rPr>
          <w:color w:val="212121"/>
        </w:rPr>
        <w:t xml:space="preserve"> </w:t>
      </w:r>
      <w:r w:rsidR="00E928D3" w:rsidRPr="00AA024C">
        <w:t>Room 401, 4</w:t>
      </w:r>
      <w:r w:rsidR="00E928D3" w:rsidRPr="00AA024C">
        <w:rPr>
          <w:vertAlign w:val="superscript"/>
        </w:rPr>
        <w:t>th</w:t>
      </w:r>
      <w:r w:rsidR="00E928D3" w:rsidRPr="00AA024C">
        <w:t xml:space="preserve"> Floor, 13a, Vardanants Street, Yerevan,</w:t>
      </w:r>
      <w:r w:rsidR="00E928D3" w:rsidRPr="00AA024C">
        <w:rPr>
          <w:shd w:val="clear" w:color="auto" w:fill="FFFFFF"/>
        </w:rPr>
        <w:t xml:space="preserve"> 0010, Republic of Armenia</w:t>
      </w:r>
      <w:r w:rsidR="00E928D3" w:rsidRPr="00AA024C">
        <w:t xml:space="preserve"> at </w:t>
      </w:r>
      <w:r w:rsidR="009C51C9" w:rsidRPr="001B2757">
        <w:t>10:30</w:t>
      </w:r>
      <w:r w:rsidR="000B4398" w:rsidRPr="001B2757">
        <w:t>AM</w:t>
      </w:r>
      <w:r w:rsidR="00E928D3" w:rsidRPr="001B2757">
        <w:t>,</w:t>
      </w:r>
      <w:r w:rsidR="000B4398" w:rsidRPr="001B2757">
        <w:t xml:space="preserve"> on</w:t>
      </w:r>
      <w:r w:rsidR="00F76651" w:rsidRPr="001B2757">
        <w:t xml:space="preserve"> </w:t>
      </w:r>
      <w:r w:rsidR="009C51C9" w:rsidRPr="001B2757">
        <w:t>January 21</w:t>
      </w:r>
      <w:r w:rsidR="00E928D3" w:rsidRPr="001B2757">
        <w:t>, 201</w:t>
      </w:r>
      <w:r w:rsidR="009C51C9" w:rsidRPr="001B2757">
        <w:t>6</w:t>
      </w:r>
      <w:r w:rsidR="00F76651" w:rsidRPr="001B2757">
        <w:t>.</w:t>
      </w:r>
    </w:p>
    <w:p w:rsidR="00CB7D66" w:rsidRPr="00AA024C" w:rsidRDefault="00F76651" w:rsidP="00AF09B1">
      <w:pPr>
        <w:pStyle w:val="HTMLPreformatted"/>
        <w:shd w:val="clear" w:color="auto" w:fill="FFFFFF"/>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ab/>
      </w:r>
    </w:p>
    <w:p w:rsidR="007E7825" w:rsidRPr="00090DD3" w:rsidRDefault="007E7825" w:rsidP="00AA4777">
      <w:pPr>
        <w:pStyle w:val="BodyTextIndent"/>
        <w:spacing w:line="240" w:lineRule="auto"/>
        <w:ind w:firstLine="708"/>
        <w:rPr>
          <w:rFonts w:ascii="Times New Roman" w:hAnsi="Times New Roman"/>
          <w:color w:val="212121"/>
          <w:sz w:val="24"/>
          <w:szCs w:val="24"/>
          <w:lang w:val="en-GB"/>
        </w:rPr>
      </w:pPr>
      <w:r w:rsidRPr="00AA4777">
        <w:rPr>
          <w:rFonts w:ascii="Times New Roman" w:hAnsi="Times New Roman"/>
          <w:i w:val="0"/>
          <w:color w:val="212121"/>
          <w:sz w:val="24"/>
          <w:szCs w:val="24"/>
          <w:lang w:val="en-GB"/>
        </w:rPr>
        <w:t xml:space="preserve">The </w:t>
      </w:r>
      <w:r w:rsidR="00F76651" w:rsidRPr="00AA4777">
        <w:rPr>
          <w:rFonts w:ascii="Times New Roman" w:hAnsi="Times New Roman"/>
          <w:i w:val="0"/>
          <w:color w:val="212121"/>
          <w:sz w:val="24"/>
          <w:szCs w:val="24"/>
          <w:lang w:val="en-GB"/>
        </w:rPr>
        <w:t xml:space="preserve">complaints regarding this </w:t>
      </w:r>
      <w:r w:rsidRPr="00AA4777">
        <w:rPr>
          <w:rFonts w:ascii="Times New Roman" w:hAnsi="Times New Roman"/>
          <w:i w:val="0"/>
          <w:color w:val="212121"/>
          <w:sz w:val="24"/>
          <w:szCs w:val="24"/>
          <w:lang w:val="en-GB"/>
        </w:rPr>
        <w:t>procedure</w:t>
      </w:r>
      <w:r w:rsidR="00F76651" w:rsidRPr="00AA4777">
        <w:rPr>
          <w:rFonts w:ascii="Times New Roman" w:hAnsi="Times New Roman"/>
          <w:i w:val="0"/>
          <w:color w:val="212121"/>
          <w:sz w:val="24"/>
          <w:szCs w:val="24"/>
          <w:lang w:val="en-GB"/>
        </w:rPr>
        <w:t xml:space="preserve"> </w:t>
      </w:r>
      <w:r w:rsidRPr="00AA4777">
        <w:rPr>
          <w:rFonts w:ascii="Times New Roman" w:hAnsi="Times New Roman"/>
          <w:i w:val="0"/>
          <w:color w:val="212121"/>
          <w:sz w:val="24"/>
          <w:szCs w:val="24"/>
          <w:lang w:val="en-GB"/>
        </w:rPr>
        <w:t>should be submitted to the Procurement Assistance Center</w:t>
      </w:r>
      <w:r w:rsidR="00CB7D66" w:rsidRPr="00AA4777">
        <w:rPr>
          <w:rFonts w:ascii="Times New Roman" w:hAnsi="Times New Roman"/>
          <w:i w:val="0"/>
          <w:color w:val="212121"/>
          <w:sz w:val="24"/>
          <w:szCs w:val="24"/>
          <w:lang w:val="en-GB"/>
        </w:rPr>
        <w:t xml:space="preserve"> SNCO</w:t>
      </w:r>
      <w:r w:rsidRPr="00AA4777">
        <w:rPr>
          <w:rFonts w:ascii="Times New Roman" w:hAnsi="Times New Roman"/>
          <w:i w:val="0"/>
          <w:color w:val="212121"/>
          <w:sz w:val="24"/>
          <w:szCs w:val="24"/>
          <w:lang w:val="en-GB"/>
        </w:rPr>
        <w:t xml:space="preserve"> </w:t>
      </w:r>
      <w:r w:rsidR="00F76651" w:rsidRPr="00AA4777">
        <w:rPr>
          <w:rFonts w:ascii="Times New Roman" w:hAnsi="Times New Roman"/>
          <w:i w:val="0"/>
          <w:color w:val="212121"/>
          <w:sz w:val="24"/>
          <w:szCs w:val="24"/>
          <w:lang w:val="en-GB"/>
        </w:rPr>
        <w:t xml:space="preserve">in accordance with Section 6 of the </w:t>
      </w:r>
      <w:r w:rsidR="00F76651" w:rsidRPr="00AA4777">
        <w:rPr>
          <w:rFonts w:ascii="Times New Roman" w:hAnsi="Times New Roman"/>
          <w:i w:val="0"/>
          <w:sz w:val="24"/>
          <w:szCs w:val="24"/>
          <w:lang w:val="en-GB"/>
        </w:rPr>
        <w:t>Law on Procurement</w:t>
      </w:r>
      <w:r w:rsidR="00CB7D66" w:rsidRPr="00AA4777">
        <w:rPr>
          <w:rFonts w:ascii="Times New Roman" w:hAnsi="Times New Roman"/>
          <w:i w:val="0"/>
          <w:sz w:val="24"/>
          <w:szCs w:val="24"/>
          <w:lang w:val="en-GB"/>
        </w:rPr>
        <w:t xml:space="preserve"> of the Republic of Armenia</w:t>
      </w:r>
      <w:r w:rsidR="00F76651" w:rsidRPr="00AA4777">
        <w:rPr>
          <w:rFonts w:ascii="Times New Roman" w:hAnsi="Times New Roman"/>
          <w:i w:val="0"/>
          <w:color w:val="212121"/>
          <w:sz w:val="24"/>
          <w:szCs w:val="24"/>
          <w:lang w:val="en-GB"/>
        </w:rPr>
        <w:t xml:space="preserve">. </w:t>
      </w:r>
    </w:p>
    <w:p w:rsidR="00CB7D66" w:rsidRPr="00AA024C" w:rsidRDefault="007E7825" w:rsidP="00AF09B1">
      <w:pPr>
        <w:pStyle w:val="HTMLPreformatted"/>
        <w:shd w:val="clear" w:color="auto" w:fill="FFFFFF"/>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ab/>
      </w:r>
    </w:p>
    <w:p w:rsidR="007E7825" w:rsidRPr="00090DD3" w:rsidRDefault="00F76651" w:rsidP="00AA4777">
      <w:pPr>
        <w:pStyle w:val="BodyTextIndent"/>
        <w:spacing w:line="240" w:lineRule="auto"/>
        <w:ind w:firstLine="708"/>
        <w:rPr>
          <w:rFonts w:ascii="Times New Roman" w:hAnsi="Times New Roman"/>
          <w:color w:val="212121"/>
          <w:sz w:val="24"/>
          <w:szCs w:val="24"/>
          <w:lang w:val="en-GB"/>
        </w:rPr>
      </w:pPr>
      <w:r w:rsidRPr="00AA4777">
        <w:rPr>
          <w:rFonts w:ascii="Times New Roman" w:hAnsi="Times New Roman"/>
          <w:i w:val="0"/>
          <w:color w:val="212121"/>
          <w:sz w:val="24"/>
          <w:szCs w:val="24"/>
          <w:lang w:val="en-GB"/>
        </w:rPr>
        <w:t xml:space="preserve">The submitted documents are received and registered </w:t>
      </w:r>
      <w:r w:rsidR="007E7825" w:rsidRPr="00AA4777">
        <w:rPr>
          <w:rFonts w:ascii="Times New Roman" w:hAnsi="Times New Roman"/>
          <w:i w:val="0"/>
          <w:color w:val="212121"/>
          <w:sz w:val="24"/>
          <w:szCs w:val="24"/>
          <w:lang w:val="en-GB"/>
        </w:rPr>
        <w:t xml:space="preserve">in separate </w:t>
      </w:r>
      <w:r w:rsidR="00A91BD4" w:rsidRPr="00AA4777">
        <w:rPr>
          <w:rFonts w:ascii="Times New Roman" w:hAnsi="Times New Roman"/>
          <w:i w:val="0"/>
          <w:color w:val="212121"/>
          <w:sz w:val="24"/>
          <w:szCs w:val="24"/>
          <w:lang w:val="en-GB"/>
        </w:rPr>
        <w:t xml:space="preserve">registry books </w:t>
      </w:r>
      <w:r w:rsidRPr="00AA4777">
        <w:rPr>
          <w:rFonts w:ascii="Times New Roman" w:hAnsi="Times New Roman"/>
          <w:i w:val="0"/>
          <w:color w:val="212121"/>
          <w:sz w:val="24"/>
          <w:szCs w:val="24"/>
          <w:lang w:val="en-GB"/>
        </w:rPr>
        <w:t xml:space="preserve">by </w:t>
      </w:r>
      <w:r w:rsidR="00A22066" w:rsidRPr="00AA4777">
        <w:rPr>
          <w:rFonts w:ascii="Times New Roman" w:hAnsi="Times New Roman"/>
          <w:i w:val="0"/>
          <w:color w:val="212121"/>
          <w:sz w:val="24"/>
          <w:szCs w:val="24"/>
          <w:lang w:val="en-GB"/>
        </w:rPr>
        <w:t>Procurement Coordinator - E</w:t>
      </w:r>
      <w:r w:rsidR="007E7825" w:rsidRPr="00AA4777">
        <w:rPr>
          <w:rFonts w:ascii="Times New Roman" w:hAnsi="Times New Roman"/>
          <w:i w:val="0"/>
          <w:color w:val="212121"/>
          <w:sz w:val="24"/>
          <w:szCs w:val="24"/>
          <w:lang w:val="en-GB"/>
        </w:rPr>
        <w:t xml:space="preserve">valuation </w:t>
      </w:r>
      <w:r w:rsidR="00A22066" w:rsidRPr="00AA4777">
        <w:rPr>
          <w:rFonts w:ascii="Times New Roman" w:hAnsi="Times New Roman"/>
          <w:i w:val="0"/>
          <w:color w:val="212121"/>
          <w:sz w:val="24"/>
          <w:szCs w:val="24"/>
          <w:lang w:val="en-GB"/>
        </w:rPr>
        <w:t>C</w:t>
      </w:r>
      <w:r w:rsidR="007E7825" w:rsidRPr="00AA4777">
        <w:rPr>
          <w:rFonts w:ascii="Times New Roman" w:hAnsi="Times New Roman"/>
          <w:i w:val="0"/>
          <w:color w:val="212121"/>
          <w:sz w:val="24"/>
          <w:szCs w:val="24"/>
          <w:lang w:val="en-GB"/>
        </w:rPr>
        <w:t xml:space="preserve">ommittee </w:t>
      </w:r>
      <w:r w:rsidR="00A22066" w:rsidRPr="00AA4777">
        <w:rPr>
          <w:rFonts w:ascii="Times New Roman" w:hAnsi="Times New Roman"/>
          <w:i w:val="0"/>
          <w:color w:val="212121"/>
          <w:sz w:val="24"/>
          <w:szCs w:val="24"/>
          <w:lang w:val="en-GB"/>
        </w:rPr>
        <w:t>S</w:t>
      </w:r>
      <w:r w:rsidR="007E7825" w:rsidRPr="00AA4777">
        <w:rPr>
          <w:rFonts w:ascii="Times New Roman" w:hAnsi="Times New Roman"/>
          <w:i w:val="0"/>
          <w:color w:val="212121"/>
          <w:sz w:val="24"/>
          <w:szCs w:val="24"/>
          <w:lang w:val="en-GB"/>
        </w:rPr>
        <w:t>ecretary.</w:t>
      </w:r>
    </w:p>
    <w:p w:rsidR="00A22066" w:rsidRPr="00AA024C" w:rsidRDefault="007E7825" w:rsidP="00AF09B1">
      <w:pPr>
        <w:pStyle w:val="HTMLPreformatted"/>
        <w:shd w:val="clear" w:color="auto" w:fill="FFFFFF"/>
        <w:jc w:val="both"/>
        <w:rPr>
          <w:rFonts w:ascii="Times New Roman" w:hAnsi="Times New Roman" w:cs="Times New Roman"/>
          <w:color w:val="212121"/>
          <w:sz w:val="24"/>
          <w:szCs w:val="24"/>
          <w:lang w:val="en-GB"/>
        </w:rPr>
      </w:pPr>
      <w:r w:rsidRPr="00AA024C">
        <w:rPr>
          <w:rFonts w:ascii="Times New Roman" w:hAnsi="Times New Roman" w:cs="Times New Roman"/>
          <w:color w:val="212121"/>
          <w:sz w:val="24"/>
          <w:szCs w:val="24"/>
          <w:lang w:val="en-GB"/>
        </w:rPr>
        <w:tab/>
      </w:r>
    </w:p>
    <w:p w:rsidR="007E7825" w:rsidRPr="00090DD3" w:rsidRDefault="007E7825" w:rsidP="00AA4777">
      <w:pPr>
        <w:pStyle w:val="BodyTextIndent"/>
        <w:spacing w:line="240" w:lineRule="auto"/>
        <w:ind w:firstLine="708"/>
        <w:rPr>
          <w:rFonts w:ascii="Times New Roman" w:hAnsi="Times New Roman"/>
          <w:color w:val="212121"/>
          <w:sz w:val="24"/>
          <w:szCs w:val="24"/>
          <w:lang w:val="en-GB"/>
        </w:rPr>
      </w:pPr>
      <w:r w:rsidRPr="00AA4777">
        <w:rPr>
          <w:rFonts w:ascii="Times New Roman" w:hAnsi="Times New Roman"/>
          <w:i w:val="0"/>
          <w:color w:val="212121"/>
          <w:sz w:val="24"/>
          <w:szCs w:val="24"/>
          <w:lang w:val="en-GB"/>
        </w:rPr>
        <w:t>To receive additional information regarding this announcement</w:t>
      </w:r>
      <w:r w:rsidR="002968FA" w:rsidRPr="00AA4777">
        <w:rPr>
          <w:rFonts w:ascii="Times New Roman" w:hAnsi="Times New Roman"/>
          <w:i w:val="0"/>
          <w:color w:val="212121"/>
          <w:sz w:val="24"/>
          <w:szCs w:val="24"/>
          <w:lang w:val="en-GB"/>
        </w:rPr>
        <w:t>,</w:t>
      </w:r>
      <w:r w:rsidRPr="00AA4777">
        <w:rPr>
          <w:rFonts w:ascii="Times New Roman" w:hAnsi="Times New Roman"/>
          <w:i w:val="0"/>
          <w:color w:val="212121"/>
          <w:sz w:val="24"/>
          <w:szCs w:val="24"/>
          <w:lang w:val="en-GB"/>
        </w:rPr>
        <w:t xml:space="preserve"> please contact</w:t>
      </w:r>
      <w:r w:rsidR="00A22066" w:rsidRPr="00AA4777">
        <w:rPr>
          <w:rFonts w:ascii="Times New Roman" w:hAnsi="Times New Roman"/>
          <w:i w:val="0"/>
          <w:color w:val="212121"/>
          <w:sz w:val="24"/>
          <w:szCs w:val="24"/>
          <w:lang w:val="en-GB"/>
        </w:rPr>
        <w:t xml:space="preserve"> Mr. Arayik </w:t>
      </w:r>
      <w:r w:rsidR="00BB4757" w:rsidRPr="00AA4777">
        <w:rPr>
          <w:rFonts w:ascii="Times New Roman" w:hAnsi="Times New Roman"/>
          <w:i w:val="0"/>
          <w:color w:val="212121"/>
          <w:sz w:val="24"/>
          <w:szCs w:val="24"/>
          <w:lang w:val="en-GB"/>
        </w:rPr>
        <w:t>Mnatsakanyan</w:t>
      </w:r>
      <w:r w:rsidR="00A22066" w:rsidRPr="00AA4777">
        <w:rPr>
          <w:rFonts w:ascii="Times New Roman" w:hAnsi="Times New Roman"/>
          <w:i w:val="0"/>
          <w:color w:val="212121"/>
          <w:sz w:val="24"/>
          <w:szCs w:val="24"/>
          <w:lang w:val="en-GB"/>
        </w:rPr>
        <w:t>, Procurement Coordinator, Head of Finance Division</w:t>
      </w:r>
      <w:r w:rsidR="00A0745F" w:rsidRPr="00AA4777">
        <w:rPr>
          <w:rFonts w:ascii="Times New Roman" w:hAnsi="Times New Roman"/>
          <w:i w:val="0"/>
          <w:color w:val="212121"/>
          <w:sz w:val="24"/>
          <w:szCs w:val="24"/>
          <w:lang w:val="en-GB"/>
        </w:rPr>
        <w:t>, Deputy Head</w:t>
      </w:r>
      <w:r w:rsidR="00A22066" w:rsidRPr="00AA4777">
        <w:rPr>
          <w:rFonts w:ascii="Times New Roman" w:hAnsi="Times New Roman"/>
          <w:i w:val="0"/>
          <w:color w:val="212121"/>
          <w:sz w:val="24"/>
          <w:szCs w:val="24"/>
          <w:lang w:val="en-GB"/>
        </w:rPr>
        <w:t xml:space="preserve"> of the Financial-Economic and Accountancy Department</w:t>
      </w:r>
      <w:r w:rsidR="00A0745F" w:rsidRPr="00AA4777">
        <w:rPr>
          <w:rFonts w:ascii="Times New Roman" w:hAnsi="Times New Roman"/>
          <w:i w:val="0"/>
          <w:color w:val="212121"/>
          <w:sz w:val="24"/>
          <w:szCs w:val="24"/>
          <w:lang w:val="en-GB"/>
        </w:rPr>
        <w:t xml:space="preserve"> of the Staff of the</w:t>
      </w:r>
      <w:r w:rsidR="00A22066" w:rsidRPr="00AA4777">
        <w:rPr>
          <w:rFonts w:ascii="Times New Roman" w:hAnsi="Times New Roman"/>
          <w:i w:val="0"/>
          <w:color w:val="212121"/>
          <w:sz w:val="24"/>
          <w:szCs w:val="24"/>
          <w:lang w:val="en-GB"/>
        </w:rPr>
        <w:t xml:space="preserve"> State Committee of Water Economy of the Ministry of Agriculture of the Republic of Armenia</w:t>
      </w:r>
      <w:r w:rsidR="00BB4757" w:rsidRPr="00AA4777">
        <w:rPr>
          <w:rFonts w:ascii="Times New Roman" w:hAnsi="Times New Roman"/>
          <w:i w:val="0"/>
          <w:color w:val="212121"/>
          <w:sz w:val="24"/>
          <w:szCs w:val="24"/>
          <w:lang w:val="en-GB"/>
        </w:rPr>
        <w:t>:</w:t>
      </w:r>
    </w:p>
    <w:p w:rsidR="00D34EE7" w:rsidRPr="00AA024C" w:rsidRDefault="00D34EE7" w:rsidP="00AF09B1">
      <w:pPr>
        <w:pStyle w:val="HTMLPreformatted"/>
        <w:shd w:val="clear" w:color="auto" w:fill="FFFFFF"/>
        <w:jc w:val="both"/>
        <w:rPr>
          <w:rFonts w:ascii="Times New Roman" w:hAnsi="Times New Roman" w:cs="Times New Roman"/>
          <w:color w:val="212121"/>
          <w:sz w:val="24"/>
          <w:szCs w:val="24"/>
          <w:lang w:val="en-GB"/>
        </w:rPr>
      </w:pPr>
    </w:p>
    <w:p w:rsidR="00FB1557" w:rsidRPr="00AA024C" w:rsidRDefault="00BB4757" w:rsidP="00AA4777">
      <w:pPr>
        <w:pStyle w:val="BodyTextIndent"/>
        <w:rPr>
          <w:rFonts w:ascii="Times New Roman" w:hAnsi="Times New Roman"/>
          <w:i w:val="0"/>
          <w:sz w:val="24"/>
          <w:szCs w:val="24"/>
          <w:lang w:val="en-GB"/>
        </w:rPr>
      </w:pPr>
      <w:r w:rsidRPr="00AA024C">
        <w:tab/>
      </w:r>
      <w:r w:rsidRPr="00AA024C">
        <w:tab/>
      </w:r>
      <w:r w:rsidR="00671618" w:rsidRPr="00AA024C">
        <w:rPr>
          <w:rFonts w:ascii="Times New Roman" w:hAnsi="Times New Roman"/>
          <w:i w:val="0"/>
          <w:sz w:val="24"/>
          <w:szCs w:val="24"/>
          <w:lang w:val="en-GB"/>
        </w:rPr>
        <w:t>Tel.</w:t>
      </w:r>
      <w:r w:rsidRPr="00AA024C">
        <w:rPr>
          <w:rFonts w:ascii="Times New Roman" w:hAnsi="Times New Roman"/>
          <w:i w:val="0"/>
          <w:sz w:val="24"/>
          <w:szCs w:val="24"/>
          <w:lang w:val="en-GB"/>
        </w:rPr>
        <w:t>:</w:t>
      </w:r>
      <w:r w:rsidRPr="00AA024C">
        <w:rPr>
          <w:rFonts w:ascii="Times New Roman" w:hAnsi="Times New Roman"/>
          <w:i w:val="0"/>
          <w:sz w:val="24"/>
          <w:szCs w:val="24"/>
          <w:lang w:val="en-GB"/>
        </w:rPr>
        <w:tab/>
      </w:r>
      <w:r w:rsidRPr="00AA024C">
        <w:rPr>
          <w:rFonts w:ascii="Times New Roman" w:hAnsi="Times New Roman"/>
          <w:i w:val="0"/>
          <w:sz w:val="24"/>
          <w:szCs w:val="24"/>
          <w:lang w:val="en-GB"/>
        </w:rPr>
        <w:tab/>
        <w:t>(</w:t>
      </w:r>
      <w:r w:rsidR="00FB1557" w:rsidRPr="00AA024C">
        <w:rPr>
          <w:rFonts w:ascii="Times New Roman" w:hAnsi="Times New Roman"/>
          <w:i w:val="0"/>
          <w:sz w:val="24"/>
          <w:szCs w:val="24"/>
          <w:lang w:val="en-GB"/>
        </w:rPr>
        <w:t>+374</w:t>
      </w:r>
      <w:r w:rsidRPr="00AA4777">
        <w:rPr>
          <w:rFonts w:ascii="Times New Roman" w:hAnsi="Times New Roman"/>
          <w:i w:val="0"/>
          <w:sz w:val="24"/>
          <w:szCs w:val="24"/>
          <w:lang w:val="en-GB"/>
        </w:rPr>
        <w:t xml:space="preserve">-10) 540229, </w:t>
      </w:r>
      <w:r w:rsidRPr="00AA024C">
        <w:rPr>
          <w:rFonts w:ascii="Times New Roman" w:hAnsi="Times New Roman"/>
          <w:i w:val="0"/>
          <w:sz w:val="24"/>
          <w:szCs w:val="24"/>
          <w:lang w:val="en-GB"/>
        </w:rPr>
        <w:t>(+374</w:t>
      </w:r>
      <w:r w:rsidRPr="00AA4777">
        <w:rPr>
          <w:rFonts w:ascii="Times New Roman" w:hAnsi="Times New Roman"/>
          <w:i w:val="0"/>
          <w:sz w:val="24"/>
          <w:szCs w:val="24"/>
          <w:lang w:val="en-GB"/>
        </w:rPr>
        <w:t>-91) 329056</w:t>
      </w:r>
    </w:p>
    <w:p w:rsidR="00FB1557" w:rsidRPr="002D7695" w:rsidRDefault="004427A6" w:rsidP="00AA4777">
      <w:pPr>
        <w:pStyle w:val="BodyTextIndent"/>
        <w:ind w:left="1404"/>
        <w:rPr>
          <w:rFonts w:ascii="Times New Roman" w:hAnsi="Times New Roman"/>
          <w:i w:val="0"/>
          <w:sz w:val="24"/>
          <w:szCs w:val="24"/>
          <w:lang w:val="de-DE"/>
        </w:rPr>
      </w:pPr>
      <w:r w:rsidRPr="002D7695">
        <w:rPr>
          <w:rFonts w:ascii="Times New Roman" w:hAnsi="Times New Roman"/>
          <w:i w:val="0"/>
          <w:sz w:val="24"/>
          <w:szCs w:val="24"/>
          <w:lang w:val="de-DE"/>
        </w:rPr>
        <w:t xml:space="preserve">E- mail: </w:t>
      </w:r>
      <w:r w:rsidRPr="002D7695">
        <w:rPr>
          <w:rFonts w:ascii="Times New Roman" w:hAnsi="Times New Roman"/>
          <w:i w:val="0"/>
          <w:sz w:val="24"/>
          <w:szCs w:val="24"/>
          <w:lang w:val="de-DE"/>
        </w:rPr>
        <w:tab/>
      </w:r>
      <w:hyperlink r:id="rId8" w:history="1">
        <w:r w:rsidRPr="002D7695">
          <w:rPr>
            <w:rStyle w:val="Hyperlink"/>
            <w:rFonts w:ascii="Times New Roman" w:hAnsi="Times New Roman"/>
            <w:i w:val="0"/>
            <w:sz w:val="24"/>
            <w:szCs w:val="24"/>
            <w:lang w:val="de-DE"/>
          </w:rPr>
          <w:t>arayik.mnatcakanyan@gmail.com</w:t>
        </w:r>
      </w:hyperlink>
    </w:p>
    <w:p w:rsidR="00FB1557" w:rsidRPr="00AA024C" w:rsidRDefault="00BB4757" w:rsidP="00AA4777">
      <w:pPr>
        <w:pStyle w:val="BodyTextIndent"/>
        <w:spacing w:line="240" w:lineRule="auto"/>
        <w:ind w:left="3544" w:hanging="1418"/>
        <w:rPr>
          <w:rFonts w:ascii="Times New Roman" w:hAnsi="Times New Roman"/>
          <w:i w:val="0"/>
          <w:sz w:val="24"/>
          <w:szCs w:val="24"/>
          <w:lang w:val="en-GB"/>
        </w:rPr>
      </w:pPr>
      <w:r w:rsidRPr="00AA024C">
        <w:rPr>
          <w:rFonts w:ascii="Times New Roman" w:hAnsi="Times New Roman"/>
          <w:i w:val="0"/>
          <w:sz w:val="24"/>
          <w:szCs w:val="24"/>
          <w:lang w:val="en-GB"/>
        </w:rPr>
        <w:t xml:space="preserve">The </w:t>
      </w:r>
      <w:r w:rsidR="00671618" w:rsidRPr="00AA024C">
        <w:rPr>
          <w:rFonts w:ascii="Times New Roman" w:hAnsi="Times New Roman"/>
          <w:i w:val="0"/>
          <w:sz w:val="24"/>
          <w:szCs w:val="24"/>
          <w:lang w:val="en-GB"/>
        </w:rPr>
        <w:t>Client</w:t>
      </w:r>
      <w:r w:rsidRPr="00AA024C">
        <w:rPr>
          <w:rFonts w:ascii="Times New Roman" w:hAnsi="Times New Roman"/>
          <w:i w:val="0"/>
          <w:sz w:val="24"/>
          <w:szCs w:val="24"/>
          <w:lang w:val="en-GB"/>
        </w:rPr>
        <w:t>:</w:t>
      </w:r>
      <w:r w:rsidRPr="00AA024C">
        <w:rPr>
          <w:rFonts w:ascii="Times New Roman" w:hAnsi="Times New Roman"/>
          <w:i w:val="0"/>
          <w:sz w:val="24"/>
          <w:szCs w:val="24"/>
          <w:lang w:val="en-GB"/>
        </w:rPr>
        <w:tab/>
      </w:r>
      <w:r w:rsidRPr="00AA4777">
        <w:rPr>
          <w:rFonts w:ascii="Times New Roman" w:hAnsi="Times New Roman"/>
          <w:i w:val="0"/>
          <w:sz w:val="24"/>
          <w:szCs w:val="24"/>
          <w:lang w:val="en-GB"/>
        </w:rPr>
        <w:t>State Committee of Water Economy of the Ministry of Agriculture of the Republic of Armenia</w:t>
      </w:r>
      <w:r w:rsidR="00671618" w:rsidRPr="00AA024C">
        <w:rPr>
          <w:rFonts w:ascii="Times New Roman" w:hAnsi="Times New Roman"/>
          <w:i w:val="0"/>
          <w:sz w:val="24"/>
          <w:szCs w:val="24"/>
          <w:lang w:val="en-GB"/>
        </w:rPr>
        <w:t xml:space="preserve"> </w:t>
      </w:r>
    </w:p>
    <w:p w:rsidR="00256B9A" w:rsidRPr="00AA024C" w:rsidRDefault="00FB1557" w:rsidP="00256B9A">
      <w:pPr>
        <w:pStyle w:val="BodyTextIndent"/>
        <w:ind w:left="708" w:firstLine="708"/>
        <w:jc w:val="right"/>
        <w:rPr>
          <w:rFonts w:ascii="Times New Roman" w:hAnsi="Times New Roman"/>
          <w:sz w:val="24"/>
          <w:szCs w:val="24"/>
          <w:lang w:val="en-GB"/>
        </w:rPr>
      </w:pPr>
      <w:r w:rsidRPr="00AA024C">
        <w:rPr>
          <w:rFonts w:ascii="Times New Roman" w:hAnsi="Times New Roman"/>
          <w:i w:val="0"/>
          <w:sz w:val="24"/>
          <w:szCs w:val="24"/>
          <w:lang w:val="en-GB"/>
        </w:rPr>
        <w:br w:type="page"/>
      </w:r>
      <w:r w:rsidR="00256B9A" w:rsidRPr="00AA024C">
        <w:rPr>
          <w:rFonts w:ascii="Times New Roman" w:hAnsi="Times New Roman"/>
          <w:sz w:val="24"/>
          <w:szCs w:val="24"/>
          <w:lang w:val="en-GB"/>
        </w:rPr>
        <w:lastRenderedPageBreak/>
        <w:t xml:space="preserve">Annex 1 </w:t>
      </w:r>
    </w:p>
    <w:p w:rsidR="00256B9A" w:rsidRPr="00AA024C" w:rsidRDefault="00256B9A" w:rsidP="00303122">
      <w:pPr>
        <w:pStyle w:val="BodyTextIndent"/>
        <w:spacing w:line="240" w:lineRule="auto"/>
        <w:ind w:left="709" w:firstLine="709"/>
        <w:jc w:val="right"/>
        <w:rPr>
          <w:rFonts w:ascii="Times New Roman" w:hAnsi="Times New Roman"/>
          <w:i w:val="0"/>
          <w:sz w:val="24"/>
          <w:szCs w:val="24"/>
          <w:lang w:val="en-GB"/>
        </w:rPr>
      </w:pPr>
      <w:r w:rsidRPr="00AA024C">
        <w:rPr>
          <w:rFonts w:ascii="Times New Roman" w:hAnsi="Times New Roman"/>
          <w:sz w:val="24"/>
          <w:szCs w:val="24"/>
          <w:lang w:val="en-GB"/>
        </w:rPr>
        <w:t>Pre-qualification announcement regarding</w:t>
      </w:r>
      <w:r w:rsidR="002C1DB3">
        <w:rPr>
          <w:rFonts w:ascii="Times New Roman" w:hAnsi="Times New Roman"/>
          <w:sz w:val="24"/>
          <w:szCs w:val="24"/>
          <w:lang w:val="en-GB"/>
        </w:rPr>
        <w:t xml:space="preserve"> </w:t>
      </w:r>
      <w:r w:rsidRPr="00AA024C">
        <w:rPr>
          <w:rFonts w:ascii="Times New Roman" w:hAnsi="Times New Roman"/>
          <w:sz w:val="24"/>
          <w:szCs w:val="24"/>
          <w:lang w:val="en-GB"/>
        </w:rPr>
        <w:t xml:space="preserve">competitive </w:t>
      </w:r>
      <w:r w:rsidR="002C1DB3">
        <w:rPr>
          <w:rFonts w:ascii="Times New Roman" w:hAnsi="Times New Roman"/>
          <w:sz w:val="24"/>
          <w:szCs w:val="24"/>
          <w:lang w:val="en-GB"/>
        </w:rPr>
        <w:br/>
      </w:r>
      <w:r w:rsidRPr="00AA024C">
        <w:rPr>
          <w:rFonts w:ascii="Times New Roman" w:hAnsi="Times New Roman"/>
          <w:sz w:val="24"/>
          <w:szCs w:val="24"/>
          <w:lang w:val="en-GB"/>
        </w:rPr>
        <w:t xml:space="preserve">dialogue procedure </w:t>
      </w:r>
      <w:r w:rsidRPr="005E795E">
        <w:rPr>
          <w:rFonts w:ascii="Times New Roman" w:hAnsi="Times New Roman"/>
          <w:sz w:val="24"/>
          <w:szCs w:val="24"/>
          <w:lang w:val="en-GB"/>
        </w:rPr>
        <w:t>code N</w:t>
      </w:r>
      <w:r w:rsidR="00A0745F" w:rsidRPr="005E795E">
        <w:t xml:space="preserve"> </w:t>
      </w:r>
      <w:r w:rsidR="00303122" w:rsidRPr="005E795E">
        <w:rPr>
          <w:rFonts w:ascii="Times New Roman" w:hAnsi="Times New Roman"/>
          <w:i w:val="0"/>
          <w:color w:val="000000" w:themeColor="text1"/>
          <w:sz w:val="24"/>
          <w:szCs w:val="24"/>
          <w:lang w:val="en-GB"/>
        </w:rPr>
        <w:t>SCWE of RA MoA-CDSA-</w:t>
      </w:r>
      <w:r w:rsidR="00303122" w:rsidRPr="005E795E">
        <w:rPr>
          <w:rFonts w:ascii="Times New Roman" w:hAnsi="Times New Roman"/>
          <w:i w:val="0"/>
          <w:sz w:val="24"/>
          <w:szCs w:val="24"/>
          <w:lang w:val="en-GB"/>
        </w:rPr>
        <w:t>N</w:t>
      </w:r>
      <w:r w:rsidR="00A001AB" w:rsidRPr="005E795E">
        <w:rPr>
          <w:rFonts w:ascii="Times New Roman" w:hAnsi="Times New Roman"/>
          <w:i w:val="0"/>
          <w:sz w:val="24"/>
          <w:szCs w:val="24"/>
          <w:lang w:val="en-GB"/>
        </w:rPr>
        <w:t xml:space="preserve"> 15/1</w:t>
      </w:r>
      <w:r w:rsidR="00303122" w:rsidRPr="005E795E" w:rsidDel="00303122">
        <w:rPr>
          <w:rFonts w:ascii="Times New Roman" w:hAnsi="Times New Roman"/>
          <w:sz w:val="24"/>
          <w:szCs w:val="24"/>
          <w:lang w:val="en-GB"/>
        </w:rPr>
        <w:t xml:space="preserve"> </w:t>
      </w:r>
    </w:p>
    <w:p w:rsidR="002C1DB3" w:rsidRDefault="002C1DB3" w:rsidP="00256B9A">
      <w:pPr>
        <w:pStyle w:val="BodyTextIndent"/>
        <w:ind w:left="708" w:firstLine="708"/>
        <w:jc w:val="center"/>
        <w:rPr>
          <w:rFonts w:ascii="Times New Roman" w:hAnsi="Times New Roman"/>
          <w:b/>
          <w:i w:val="0"/>
          <w:sz w:val="24"/>
          <w:szCs w:val="24"/>
          <w:lang w:val="en-GB"/>
        </w:rPr>
      </w:pPr>
    </w:p>
    <w:p w:rsidR="00256B9A" w:rsidRPr="00AA024C" w:rsidRDefault="00256B9A" w:rsidP="00256B9A">
      <w:pPr>
        <w:pStyle w:val="BodyTextIndent"/>
        <w:ind w:left="708" w:firstLine="708"/>
        <w:jc w:val="center"/>
        <w:rPr>
          <w:rFonts w:ascii="Times New Roman" w:hAnsi="Times New Roman"/>
          <w:b/>
          <w:i w:val="0"/>
          <w:sz w:val="24"/>
          <w:szCs w:val="24"/>
          <w:lang w:val="en-GB"/>
        </w:rPr>
      </w:pPr>
      <w:r w:rsidRPr="00AA024C">
        <w:rPr>
          <w:rFonts w:ascii="Times New Roman" w:hAnsi="Times New Roman"/>
          <w:b/>
          <w:i w:val="0"/>
          <w:sz w:val="24"/>
          <w:szCs w:val="24"/>
          <w:lang w:val="en-GB"/>
        </w:rPr>
        <w:t>APPLICATION FORM</w:t>
      </w:r>
    </w:p>
    <w:p w:rsidR="00256B9A" w:rsidRPr="00AA024C" w:rsidRDefault="00256B9A" w:rsidP="00256B9A">
      <w:pPr>
        <w:pStyle w:val="Heading6"/>
        <w:ind w:firstLine="539"/>
        <w:jc w:val="both"/>
        <w:rPr>
          <w:b w:val="0"/>
          <w:sz w:val="24"/>
          <w:szCs w:val="24"/>
        </w:rPr>
      </w:pPr>
      <w:r w:rsidRPr="00AA024C">
        <w:rPr>
          <w:b w:val="0"/>
          <w:sz w:val="24"/>
          <w:szCs w:val="24"/>
        </w:rPr>
        <w:t xml:space="preserve">________________________________ </w:t>
      </w:r>
      <w:r w:rsidR="002C1DB3">
        <w:rPr>
          <w:b w:val="0"/>
          <w:sz w:val="24"/>
          <w:szCs w:val="24"/>
        </w:rPr>
        <w:t>is interested to participate</w:t>
      </w:r>
    </w:p>
    <w:p w:rsidR="00256B9A" w:rsidRPr="00AA024C" w:rsidRDefault="00256B9A" w:rsidP="00256B9A">
      <w:pPr>
        <w:ind w:left="708" w:firstLine="708"/>
        <w:rPr>
          <w:vertAlign w:val="superscript"/>
        </w:rPr>
      </w:pPr>
      <w:r w:rsidRPr="00AA024C">
        <w:rPr>
          <w:vertAlign w:val="superscript"/>
        </w:rPr>
        <w:t xml:space="preserve">Name of the </w:t>
      </w:r>
      <w:r w:rsidR="00835F2D" w:rsidRPr="00AA024C">
        <w:rPr>
          <w:vertAlign w:val="superscript"/>
        </w:rPr>
        <w:t xml:space="preserve"> bidder </w:t>
      </w:r>
    </w:p>
    <w:p w:rsidR="00256B9A" w:rsidRPr="00AA024C" w:rsidRDefault="002C1DB3" w:rsidP="00256B9A">
      <w:pPr>
        <w:pStyle w:val="Heading6"/>
        <w:ind w:firstLine="540"/>
        <w:jc w:val="both"/>
        <w:rPr>
          <w:b w:val="0"/>
          <w:sz w:val="24"/>
          <w:szCs w:val="24"/>
        </w:rPr>
      </w:pPr>
      <w:r>
        <w:rPr>
          <w:b w:val="0"/>
          <w:sz w:val="24"/>
          <w:szCs w:val="24"/>
        </w:rPr>
        <w:t>in</w:t>
      </w:r>
      <w:r w:rsidR="00256B9A" w:rsidRPr="00AA024C">
        <w:rPr>
          <w:b w:val="0"/>
          <w:sz w:val="24"/>
          <w:szCs w:val="24"/>
        </w:rPr>
        <w:t xml:space="preserve"> the pre-qualification procedure regarding competitive dialogue procedure code </w:t>
      </w:r>
      <w:r w:rsidR="00256B9A" w:rsidRPr="005E795E">
        <w:rPr>
          <w:b w:val="0"/>
          <w:sz w:val="24"/>
          <w:szCs w:val="24"/>
        </w:rPr>
        <w:t>N</w:t>
      </w:r>
      <w:r w:rsidR="00A0745F" w:rsidRPr="005E795E">
        <w:rPr>
          <w:b w:val="0"/>
          <w:sz w:val="24"/>
          <w:szCs w:val="24"/>
        </w:rPr>
        <w:t xml:space="preserve"> </w:t>
      </w:r>
      <w:r w:rsidR="00F477AB" w:rsidRPr="005E795E">
        <w:rPr>
          <w:i/>
          <w:color w:val="000000" w:themeColor="text1"/>
          <w:sz w:val="24"/>
          <w:szCs w:val="24"/>
        </w:rPr>
        <w:t>S</w:t>
      </w:r>
      <w:r w:rsidR="00F477AB" w:rsidRPr="005E795E">
        <w:rPr>
          <w:color w:val="000000" w:themeColor="text1"/>
          <w:sz w:val="24"/>
          <w:szCs w:val="24"/>
        </w:rPr>
        <w:t>CWE</w:t>
      </w:r>
      <w:r w:rsidR="00F477AB" w:rsidRPr="005E795E">
        <w:rPr>
          <w:i/>
          <w:color w:val="000000" w:themeColor="text1"/>
          <w:sz w:val="24"/>
          <w:szCs w:val="24"/>
        </w:rPr>
        <w:t xml:space="preserve"> </w:t>
      </w:r>
      <w:r w:rsidR="00F477AB" w:rsidRPr="005E795E">
        <w:rPr>
          <w:color w:val="000000" w:themeColor="text1"/>
          <w:sz w:val="24"/>
          <w:szCs w:val="24"/>
        </w:rPr>
        <w:t>of</w:t>
      </w:r>
      <w:r w:rsidR="00F477AB" w:rsidRPr="005E795E">
        <w:rPr>
          <w:i/>
          <w:color w:val="000000" w:themeColor="text1"/>
          <w:sz w:val="24"/>
          <w:szCs w:val="24"/>
        </w:rPr>
        <w:t xml:space="preserve"> </w:t>
      </w:r>
      <w:r w:rsidR="00F477AB" w:rsidRPr="005E795E">
        <w:rPr>
          <w:color w:val="000000" w:themeColor="text1"/>
          <w:sz w:val="24"/>
          <w:szCs w:val="24"/>
        </w:rPr>
        <w:t>RA</w:t>
      </w:r>
      <w:r w:rsidR="00F477AB" w:rsidRPr="005E795E">
        <w:rPr>
          <w:i/>
          <w:color w:val="000000" w:themeColor="text1"/>
          <w:sz w:val="24"/>
          <w:szCs w:val="24"/>
        </w:rPr>
        <w:t xml:space="preserve"> </w:t>
      </w:r>
      <w:r w:rsidR="00F477AB" w:rsidRPr="005E795E">
        <w:rPr>
          <w:color w:val="000000" w:themeColor="text1"/>
          <w:sz w:val="24"/>
          <w:szCs w:val="24"/>
        </w:rPr>
        <w:t>MoA-CDSA-</w:t>
      </w:r>
      <w:r w:rsidR="00F477AB" w:rsidRPr="005E795E">
        <w:rPr>
          <w:sz w:val="24"/>
          <w:szCs w:val="24"/>
        </w:rPr>
        <w:t>N</w:t>
      </w:r>
      <w:r w:rsidR="00F477AB" w:rsidRPr="005E795E" w:rsidDel="00F477AB">
        <w:rPr>
          <w:b w:val="0"/>
          <w:sz w:val="24"/>
          <w:szCs w:val="24"/>
        </w:rPr>
        <w:t xml:space="preserve"> </w:t>
      </w:r>
      <w:r w:rsidR="003A66D9" w:rsidRPr="005E795E">
        <w:rPr>
          <w:b w:val="0"/>
          <w:sz w:val="24"/>
          <w:szCs w:val="24"/>
        </w:rPr>
        <w:t>15/1</w:t>
      </w:r>
      <w:r w:rsidR="003A66D9" w:rsidRPr="00AA024C">
        <w:rPr>
          <w:b w:val="0"/>
          <w:sz w:val="24"/>
          <w:szCs w:val="24"/>
        </w:rPr>
        <w:t xml:space="preserve"> </w:t>
      </w:r>
      <w:r w:rsidR="00037D28" w:rsidRPr="00AA024C">
        <w:rPr>
          <w:b w:val="0"/>
          <w:sz w:val="24"/>
          <w:szCs w:val="24"/>
        </w:rPr>
        <w:t>for the</w:t>
      </w:r>
      <w:r w:rsidR="00256B9A" w:rsidRPr="00AA024C">
        <w:rPr>
          <w:b w:val="0"/>
          <w:sz w:val="24"/>
          <w:szCs w:val="24"/>
        </w:rPr>
        <w:t xml:space="preserve"> </w:t>
      </w:r>
      <w:r w:rsidR="00037D28" w:rsidRPr="00AA4777">
        <w:rPr>
          <w:b w:val="0"/>
          <w:sz w:val="24"/>
          <w:szCs w:val="24"/>
        </w:rPr>
        <w:t>lease of water and wastewater systems and other property currently used and stored by “Yerevan Djur”, “Hayjrmughkoyughi”, “Lori</w:t>
      </w:r>
      <w:r w:rsidR="008D2025" w:rsidRPr="00AA024C">
        <w:rPr>
          <w:b w:val="0"/>
          <w:sz w:val="24"/>
          <w:szCs w:val="24"/>
        </w:rPr>
        <w:t>-</w:t>
      </w:r>
      <w:r w:rsidR="00037D28" w:rsidRPr="00AA4777">
        <w:rPr>
          <w:b w:val="0"/>
          <w:sz w:val="24"/>
          <w:szCs w:val="24"/>
        </w:rPr>
        <w:t>jrmughkoyughi”, “Shirak</w:t>
      </w:r>
      <w:r w:rsidR="008D2025" w:rsidRPr="00AA024C">
        <w:rPr>
          <w:b w:val="0"/>
          <w:sz w:val="24"/>
          <w:szCs w:val="24"/>
        </w:rPr>
        <w:t>-</w:t>
      </w:r>
      <w:r w:rsidR="00037D28" w:rsidRPr="00AA4777">
        <w:rPr>
          <w:b w:val="0"/>
          <w:sz w:val="24"/>
          <w:szCs w:val="24"/>
        </w:rPr>
        <w:t>jrmughkoyughi” and “Nor Akunq” closed joint-stock companies</w:t>
      </w:r>
      <w:r w:rsidR="00256B9A" w:rsidRPr="00AA024C">
        <w:rPr>
          <w:b w:val="0"/>
          <w:sz w:val="24"/>
          <w:szCs w:val="24"/>
        </w:rPr>
        <w:t xml:space="preserve"> in accordance </w:t>
      </w:r>
      <w:r w:rsidR="00A91BD4" w:rsidRPr="00AA024C">
        <w:rPr>
          <w:b w:val="0"/>
          <w:sz w:val="24"/>
          <w:szCs w:val="24"/>
        </w:rPr>
        <w:t>with</w:t>
      </w:r>
      <w:r w:rsidR="00256B9A" w:rsidRPr="00AA024C">
        <w:rPr>
          <w:b w:val="0"/>
          <w:sz w:val="24"/>
          <w:szCs w:val="24"/>
        </w:rPr>
        <w:t xml:space="preserve"> the </w:t>
      </w:r>
      <w:r w:rsidR="002564FA" w:rsidRPr="00AA024C">
        <w:rPr>
          <w:b w:val="0"/>
          <w:sz w:val="24"/>
          <w:szCs w:val="24"/>
        </w:rPr>
        <w:t xml:space="preserve">pre-qualification procedure and pre-qualification announcement </w:t>
      </w:r>
      <w:r w:rsidR="00256B9A" w:rsidRPr="00AA024C">
        <w:rPr>
          <w:b w:val="0"/>
          <w:sz w:val="24"/>
          <w:szCs w:val="24"/>
        </w:rPr>
        <w:t xml:space="preserve">requirements, </w:t>
      </w:r>
      <w:r w:rsidR="002564FA" w:rsidRPr="00AA024C">
        <w:rPr>
          <w:b w:val="0"/>
          <w:sz w:val="24"/>
          <w:szCs w:val="24"/>
        </w:rPr>
        <w:t xml:space="preserve">while attaching </w:t>
      </w:r>
      <w:r w:rsidR="00256B9A" w:rsidRPr="00AA024C">
        <w:rPr>
          <w:b w:val="0"/>
          <w:sz w:val="24"/>
          <w:szCs w:val="24"/>
        </w:rPr>
        <w:t xml:space="preserve">relevant documents. </w:t>
      </w:r>
    </w:p>
    <w:p w:rsidR="008D2025" w:rsidRPr="00AA024C" w:rsidRDefault="008D2025" w:rsidP="00256B9A">
      <w:pPr>
        <w:ind w:firstLine="540"/>
      </w:pPr>
    </w:p>
    <w:p w:rsidR="00256B9A" w:rsidRPr="00AA024C" w:rsidRDefault="00256B9A" w:rsidP="00256B9A">
      <w:pPr>
        <w:ind w:firstLine="540"/>
      </w:pPr>
      <w:r w:rsidRPr="00AA024C">
        <w:t>Attachment____ pages.</w:t>
      </w:r>
    </w:p>
    <w:p w:rsidR="00256B9A" w:rsidRPr="00AA024C" w:rsidRDefault="00256B9A" w:rsidP="00256B9A"/>
    <w:p w:rsidR="00256B9A" w:rsidRDefault="00256B9A" w:rsidP="00256B9A">
      <w:pPr>
        <w:ind w:firstLine="540"/>
      </w:pPr>
    </w:p>
    <w:p w:rsidR="00A0745F" w:rsidRDefault="00A0745F" w:rsidP="00256B9A">
      <w:pPr>
        <w:ind w:firstLine="540"/>
      </w:pPr>
    </w:p>
    <w:tbl>
      <w:tblPr>
        <w:tblStyle w:val="TableGrid"/>
        <w:tblW w:w="4950" w:type="pct"/>
        <w:tblLook w:val="04A0"/>
      </w:tblPr>
      <w:tblGrid>
        <w:gridCol w:w="1223"/>
        <w:gridCol w:w="1223"/>
        <w:gridCol w:w="1224"/>
        <w:gridCol w:w="1222"/>
        <w:gridCol w:w="1223"/>
        <w:gridCol w:w="383"/>
        <w:gridCol w:w="1625"/>
        <w:gridCol w:w="1625"/>
      </w:tblGrid>
      <w:tr w:rsidR="00A0745F" w:rsidRPr="00DD3423" w:rsidTr="00330F04">
        <w:tc>
          <w:tcPr>
            <w:tcW w:w="5812" w:type="dxa"/>
            <w:gridSpan w:val="5"/>
            <w:tcBorders>
              <w:top w:val="nil"/>
              <w:left w:val="nil"/>
              <w:bottom w:val="single" w:sz="4" w:space="0" w:color="auto"/>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3090" w:type="dxa"/>
            <w:gridSpan w:val="2"/>
            <w:tcBorders>
              <w:top w:val="nil"/>
              <w:left w:val="nil"/>
              <w:bottom w:val="single" w:sz="4" w:space="0" w:color="auto"/>
              <w:right w:val="nil"/>
            </w:tcBorders>
          </w:tcPr>
          <w:p w:rsidR="00A0745F" w:rsidRPr="00DD3423" w:rsidRDefault="00A0745F" w:rsidP="00330F04"/>
        </w:tc>
      </w:tr>
      <w:tr w:rsidR="00A0745F" w:rsidRPr="00DD3423" w:rsidTr="00330F04">
        <w:tc>
          <w:tcPr>
            <w:tcW w:w="5812" w:type="dxa"/>
            <w:gridSpan w:val="5"/>
            <w:tcBorders>
              <w:top w:val="single" w:sz="4" w:space="0" w:color="auto"/>
              <w:left w:val="nil"/>
              <w:bottom w:val="nil"/>
              <w:right w:val="nil"/>
            </w:tcBorders>
          </w:tcPr>
          <w:p w:rsidR="00A0745F" w:rsidRPr="00DD3423" w:rsidRDefault="00A0745F" w:rsidP="00AA4777">
            <w:pPr>
              <w:jc w:val="center"/>
              <w:rPr>
                <w:sz w:val="20"/>
                <w:szCs w:val="20"/>
              </w:rPr>
            </w:pPr>
            <w:r w:rsidRPr="00DD3423">
              <w:rPr>
                <w:sz w:val="20"/>
                <w:szCs w:val="20"/>
              </w:rPr>
              <w:t xml:space="preserve">Name of </w:t>
            </w:r>
            <w:r>
              <w:rPr>
                <w:sz w:val="20"/>
                <w:szCs w:val="20"/>
              </w:rPr>
              <w:t>B</w:t>
            </w:r>
            <w:r w:rsidRPr="00DD3423">
              <w:rPr>
                <w:sz w:val="20"/>
                <w:szCs w:val="20"/>
              </w:rPr>
              <w:t>idder (Position, Name and Surname of the Head)</w:t>
            </w:r>
            <w:r w:rsidRPr="00DD3423">
              <w:rPr>
                <w:sz w:val="20"/>
                <w:szCs w:val="20"/>
              </w:rPr>
              <w:br/>
            </w:r>
          </w:p>
        </w:tc>
        <w:tc>
          <w:tcPr>
            <w:tcW w:w="364" w:type="dxa"/>
            <w:tcBorders>
              <w:top w:val="nil"/>
              <w:left w:val="nil"/>
              <w:bottom w:val="nil"/>
              <w:right w:val="nil"/>
            </w:tcBorders>
          </w:tcPr>
          <w:p w:rsidR="00A0745F" w:rsidRPr="00DD3423" w:rsidRDefault="00A0745F" w:rsidP="00330F04">
            <w:pPr>
              <w:rPr>
                <w:sz w:val="20"/>
                <w:szCs w:val="20"/>
              </w:rPr>
            </w:pPr>
          </w:p>
        </w:tc>
        <w:tc>
          <w:tcPr>
            <w:tcW w:w="3090" w:type="dxa"/>
            <w:gridSpan w:val="2"/>
            <w:tcBorders>
              <w:top w:val="single" w:sz="4" w:space="0" w:color="auto"/>
              <w:left w:val="nil"/>
              <w:bottom w:val="nil"/>
              <w:right w:val="nil"/>
            </w:tcBorders>
          </w:tcPr>
          <w:p w:rsidR="00A0745F" w:rsidRPr="00DD3423" w:rsidRDefault="00A0745F" w:rsidP="00330F04">
            <w:pPr>
              <w:jc w:val="center"/>
              <w:rPr>
                <w:sz w:val="20"/>
                <w:szCs w:val="20"/>
              </w:rPr>
            </w:pPr>
            <w:r w:rsidRPr="00DD3423">
              <w:rPr>
                <w:sz w:val="20"/>
                <w:szCs w:val="20"/>
              </w:rPr>
              <w:t>Signature</w:t>
            </w:r>
          </w:p>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A0745F">
            <w:pPr>
              <w:jc w:val="right"/>
            </w:pPr>
            <w:r w:rsidRPr="00DD3423">
              <w:t>S</w:t>
            </w:r>
            <w:r>
              <w:t>tamp</w:t>
            </w:r>
          </w:p>
        </w:tc>
        <w:tc>
          <w:tcPr>
            <w:tcW w:w="1545" w:type="dxa"/>
            <w:tcBorders>
              <w:top w:val="nil"/>
              <w:left w:val="nil"/>
              <w:bottom w:val="nil"/>
              <w:right w:val="nil"/>
            </w:tcBorders>
          </w:tcPr>
          <w:p w:rsidR="00A0745F" w:rsidRPr="00DD3423" w:rsidRDefault="00A0745F" w:rsidP="00330F04"/>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r>
      <w:tr w:rsidR="00A0745F" w:rsidRPr="00DD3423" w:rsidTr="00330F04">
        <w:tc>
          <w:tcPr>
            <w:tcW w:w="1162" w:type="dxa"/>
            <w:tcBorders>
              <w:top w:val="nil"/>
              <w:left w:val="nil"/>
              <w:bottom w:val="nil"/>
              <w:right w:val="nil"/>
            </w:tcBorders>
            <w:vAlign w:val="center"/>
          </w:tcPr>
          <w:p w:rsidR="00A0745F" w:rsidRPr="00DD3423" w:rsidRDefault="00A0745F" w:rsidP="00330F04"/>
        </w:tc>
        <w:tc>
          <w:tcPr>
            <w:tcW w:w="1162" w:type="dxa"/>
            <w:tcBorders>
              <w:top w:val="nil"/>
              <w:left w:val="nil"/>
              <w:bottom w:val="nil"/>
              <w:right w:val="nil"/>
            </w:tcBorders>
            <w:vAlign w:val="center"/>
          </w:tcPr>
          <w:p w:rsidR="00A0745F" w:rsidRPr="00DD3423" w:rsidRDefault="00A0745F" w:rsidP="00330F04"/>
        </w:tc>
        <w:tc>
          <w:tcPr>
            <w:tcW w:w="1163" w:type="dxa"/>
            <w:tcBorders>
              <w:top w:val="nil"/>
              <w:left w:val="nil"/>
              <w:bottom w:val="nil"/>
              <w:right w:val="nil"/>
            </w:tcBorders>
            <w:vAlign w:val="center"/>
          </w:tcPr>
          <w:p w:rsidR="00A0745F" w:rsidRPr="00DD3423" w:rsidRDefault="00A0745F" w:rsidP="00330F04"/>
        </w:tc>
        <w:tc>
          <w:tcPr>
            <w:tcW w:w="1162" w:type="dxa"/>
            <w:tcBorders>
              <w:top w:val="nil"/>
              <w:left w:val="nil"/>
              <w:bottom w:val="nil"/>
              <w:right w:val="nil"/>
            </w:tcBorders>
            <w:vAlign w:val="center"/>
          </w:tcPr>
          <w:p w:rsidR="00A0745F" w:rsidRPr="00DD3423" w:rsidRDefault="00A0745F" w:rsidP="00330F04"/>
        </w:tc>
        <w:tc>
          <w:tcPr>
            <w:tcW w:w="3072" w:type="dxa"/>
            <w:gridSpan w:val="3"/>
            <w:tcBorders>
              <w:top w:val="nil"/>
              <w:left w:val="nil"/>
              <w:bottom w:val="single" w:sz="4" w:space="0" w:color="auto"/>
              <w:right w:val="nil"/>
            </w:tcBorders>
            <w:vAlign w:val="center"/>
          </w:tcPr>
          <w:p w:rsidR="00A0745F" w:rsidRPr="00DD3423" w:rsidRDefault="00A0745F" w:rsidP="00330F04"/>
        </w:tc>
        <w:tc>
          <w:tcPr>
            <w:tcW w:w="1545" w:type="dxa"/>
            <w:tcBorders>
              <w:top w:val="nil"/>
              <w:left w:val="nil"/>
              <w:bottom w:val="nil"/>
              <w:right w:val="nil"/>
            </w:tcBorders>
            <w:vAlign w:val="center"/>
          </w:tcPr>
          <w:p w:rsidR="00A0745F" w:rsidRPr="00DD3423" w:rsidRDefault="00A0745F" w:rsidP="00A0745F">
            <w:r w:rsidRPr="005E795E">
              <w:t>20</w:t>
            </w:r>
            <w:r w:rsidR="000B4398" w:rsidRPr="005E795E">
              <w:t>__</w:t>
            </w:r>
          </w:p>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3072" w:type="dxa"/>
            <w:gridSpan w:val="3"/>
            <w:tcBorders>
              <w:top w:val="single" w:sz="4" w:space="0" w:color="auto"/>
              <w:left w:val="nil"/>
              <w:bottom w:val="nil"/>
              <w:right w:val="nil"/>
            </w:tcBorders>
          </w:tcPr>
          <w:p w:rsidR="00A0745F" w:rsidRPr="00DD3423" w:rsidRDefault="00A0745F" w:rsidP="00330F04">
            <w:pPr>
              <w:jc w:val="center"/>
            </w:pPr>
            <w:r w:rsidRPr="00DD3423">
              <w:rPr>
                <w:sz w:val="20"/>
                <w:szCs w:val="20"/>
              </w:rPr>
              <w:t>Date, Month</w:t>
            </w:r>
          </w:p>
        </w:tc>
        <w:tc>
          <w:tcPr>
            <w:tcW w:w="1545" w:type="dxa"/>
            <w:tcBorders>
              <w:top w:val="nil"/>
              <w:left w:val="nil"/>
              <w:bottom w:val="nil"/>
              <w:right w:val="nil"/>
            </w:tcBorders>
          </w:tcPr>
          <w:p w:rsidR="00A0745F" w:rsidRPr="00DD3423" w:rsidRDefault="00A0745F" w:rsidP="00330F04"/>
        </w:tc>
      </w:tr>
    </w:tbl>
    <w:p w:rsidR="00256B9A" w:rsidRPr="00AA024C" w:rsidRDefault="00256B9A" w:rsidP="00256B9A">
      <w:pPr>
        <w:pStyle w:val="BodyTextIndent3"/>
        <w:tabs>
          <w:tab w:val="left" w:pos="1080"/>
          <w:tab w:val="left" w:pos="9638"/>
        </w:tabs>
        <w:ind w:firstLine="540"/>
        <w:jc w:val="right"/>
        <w:rPr>
          <w:rFonts w:ascii="Times New Roman" w:hAnsi="Times New Roman"/>
          <w:sz w:val="24"/>
          <w:szCs w:val="24"/>
        </w:rPr>
      </w:pPr>
      <w:r w:rsidRPr="00AA024C">
        <w:rPr>
          <w:rFonts w:ascii="Times New Roman" w:hAnsi="Times New Roman"/>
          <w:sz w:val="24"/>
          <w:szCs w:val="24"/>
        </w:rPr>
        <w:br w:type="page"/>
      </w:r>
      <w:r w:rsidRPr="00AA024C">
        <w:rPr>
          <w:rFonts w:ascii="Times New Roman" w:hAnsi="Times New Roman"/>
          <w:sz w:val="24"/>
          <w:szCs w:val="24"/>
        </w:rPr>
        <w:lastRenderedPageBreak/>
        <w:t xml:space="preserve">Annex 2 </w:t>
      </w:r>
    </w:p>
    <w:p w:rsidR="00256B9A" w:rsidRPr="00AA024C" w:rsidRDefault="00256B9A" w:rsidP="00256B9A">
      <w:pPr>
        <w:pStyle w:val="BodyTextIndent3"/>
        <w:tabs>
          <w:tab w:val="left" w:pos="1080"/>
        </w:tabs>
        <w:spacing w:line="240" w:lineRule="auto"/>
        <w:ind w:firstLine="547"/>
        <w:jc w:val="right"/>
        <w:rPr>
          <w:rFonts w:ascii="Times New Roman" w:hAnsi="Times New Roman"/>
          <w:sz w:val="24"/>
          <w:szCs w:val="24"/>
        </w:rPr>
      </w:pPr>
      <w:r w:rsidRPr="00AA024C">
        <w:rPr>
          <w:rFonts w:ascii="Times New Roman" w:hAnsi="Times New Roman"/>
          <w:i/>
          <w:sz w:val="24"/>
          <w:szCs w:val="24"/>
        </w:rPr>
        <w:t>Pre-qualification announcement regarding</w:t>
      </w:r>
      <w:r w:rsidR="004C7CF6">
        <w:rPr>
          <w:rFonts w:ascii="Times New Roman" w:hAnsi="Times New Roman"/>
          <w:i/>
          <w:sz w:val="24"/>
          <w:szCs w:val="24"/>
        </w:rPr>
        <w:t xml:space="preserve"> </w:t>
      </w:r>
      <w:r w:rsidRPr="00AA024C">
        <w:rPr>
          <w:rFonts w:ascii="Times New Roman" w:hAnsi="Times New Roman"/>
          <w:i/>
          <w:sz w:val="24"/>
          <w:szCs w:val="24"/>
        </w:rPr>
        <w:t xml:space="preserve">competitive </w:t>
      </w:r>
      <w:r w:rsidR="004C7CF6">
        <w:rPr>
          <w:rFonts w:ascii="Times New Roman" w:hAnsi="Times New Roman"/>
          <w:i/>
          <w:sz w:val="24"/>
          <w:szCs w:val="24"/>
        </w:rPr>
        <w:br/>
      </w:r>
      <w:r w:rsidRPr="00AA024C">
        <w:rPr>
          <w:rFonts w:ascii="Times New Roman" w:hAnsi="Times New Roman"/>
          <w:i/>
          <w:sz w:val="24"/>
          <w:szCs w:val="24"/>
        </w:rPr>
        <w:t xml:space="preserve">dialogue procedure code </w:t>
      </w:r>
      <w:r w:rsidR="00A0745F" w:rsidRPr="005E795E">
        <w:rPr>
          <w:rFonts w:ascii="Times New Roman" w:hAnsi="Times New Roman"/>
          <w:i/>
          <w:sz w:val="24"/>
          <w:szCs w:val="24"/>
        </w:rPr>
        <w:t>N</w:t>
      </w:r>
      <w:r w:rsidR="00A0745F" w:rsidRPr="005E795E">
        <w:rPr>
          <w:i/>
        </w:rPr>
        <w:t xml:space="preserve"> </w:t>
      </w:r>
      <w:r w:rsidR="00B6584D" w:rsidRPr="005E795E">
        <w:rPr>
          <w:rFonts w:ascii="Times New Roman" w:hAnsi="Times New Roman"/>
          <w:i/>
          <w:color w:val="000000" w:themeColor="text1"/>
          <w:sz w:val="24"/>
          <w:szCs w:val="24"/>
        </w:rPr>
        <w:t>S</w:t>
      </w:r>
      <w:r w:rsidR="00B6584D" w:rsidRPr="005E795E">
        <w:rPr>
          <w:rFonts w:ascii="Times New Roman" w:hAnsi="Times New Roman"/>
          <w:color w:val="000000" w:themeColor="text1"/>
          <w:sz w:val="24"/>
          <w:szCs w:val="24"/>
        </w:rPr>
        <w:t>CWE</w:t>
      </w:r>
      <w:r w:rsidR="00B6584D" w:rsidRPr="005E795E">
        <w:rPr>
          <w:rFonts w:ascii="Times New Roman" w:hAnsi="Times New Roman"/>
          <w:i/>
          <w:color w:val="000000" w:themeColor="text1"/>
          <w:sz w:val="24"/>
          <w:szCs w:val="24"/>
        </w:rPr>
        <w:t xml:space="preserve"> </w:t>
      </w:r>
      <w:r w:rsidR="00B6584D" w:rsidRPr="005E795E">
        <w:rPr>
          <w:rFonts w:ascii="Times New Roman" w:hAnsi="Times New Roman"/>
          <w:color w:val="000000" w:themeColor="text1"/>
          <w:sz w:val="24"/>
          <w:szCs w:val="24"/>
        </w:rPr>
        <w:t>of</w:t>
      </w:r>
      <w:r w:rsidR="00B6584D" w:rsidRPr="005E795E">
        <w:rPr>
          <w:rFonts w:ascii="Times New Roman" w:hAnsi="Times New Roman"/>
          <w:i/>
          <w:color w:val="000000" w:themeColor="text1"/>
          <w:sz w:val="24"/>
          <w:szCs w:val="24"/>
        </w:rPr>
        <w:t xml:space="preserve"> </w:t>
      </w:r>
      <w:r w:rsidR="00B6584D" w:rsidRPr="005E795E">
        <w:rPr>
          <w:rFonts w:ascii="Times New Roman" w:hAnsi="Times New Roman"/>
          <w:color w:val="000000" w:themeColor="text1"/>
          <w:sz w:val="24"/>
          <w:szCs w:val="24"/>
        </w:rPr>
        <w:t>RA</w:t>
      </w:r>
      <w:r w:rsidR="00B6584D" w:rsidRPr="005E795E">
        <w:rPr>
          <w:rFonts w:ascii="Times New Roman" w:hAnsi="Times New Roman"/>
          <w:i/>
          <w:color w:val="000000" w:themeColor="text1"/>
          <w:sz w:val="24"/>
          <w:szCs w:val="24"/>
        </w:rPr>
        <w:t xml:space="preserve"> </w:t>
      </w:r>
      <w:r w:rsidR="00B6584D" w:rsidRPr="005E795E">
        <w:rPr>
          <w:rFonts w:ascii="Times New Roman" w:hAnsi="Times New Roman"/>
          <w:color w:val="000000" w:themeColor="text1"/>
          <w:sz w:val="24"/>
          <w:szCs w:val="24"/>
        </w:rPr>
        <w:t>MoA-CDSA-</w:t>
      </w:r>
      <w:r w:rsidR="00B6584D" w:rsidRPr="005E795E">
        <w:rPr>
          <w:rFonts w:ascii="Times New Roman" w:hAnsi="Times New Roman"/>
          <w:sz w:val="24"/>
          <w:szCs w:val="24"/>
        </w:rPr>
        <w:t>N</w:t>
      </w:r>
      <w:r w:rsidR="00E924F4">
        <w:rPr>
          <w:rFonts w:ascii="Times New Roman" w:hAnsi="Times New Roman"/>
          <w:sz w:val="24"/>
          <w:szCs w:val="24"/>
        </w:rPr>
        <w:t xml:space="preserve"> 15/1</w:t>
      </w:r>
    </w:p>
    <w:p w:rsidR="00256B9A" w:rsidRPr="00AA024C" w:rsidRDefault="00256B9A" w:rsidP="00256B9A">
      <w:pPr>
        <w:ind w:firstLine="540"/>
        <w:jc w:val="right"/>
      </w:pPr>
    </w:p>
    <w:p w:rsidR="00256B9A" w:rsidRPr="00AA024C" w:rsidRDefault="00256B9A" w:rsidP="00256B9A">
      <w:pPr>
        <w:ind w:firstLine="540"/>
        <w:jc w:val="right"/>
      </w:pPr>
    </w:p>
    <w:p w:rsidR="00256B9A" w:rsidRPr="00AA024C" w:rsidRDefault="00256B9A" w:rsidP="00256B9A">
      <w:pPr>
        <w:ind w:firstLine="540"/>
        <w:jc w:val="right"/>
      </w:pPr>
    </w:p>
    <w:p w:rsidR="00256B9A" w:rsidRPr="00AA024C" w:rsidRDefault="00256B9A" w:rsidP="00256B9A">
      <w:pPr>
        <w:ind w:firstLine="540"/>
        <w:jc w:val="right"/>
      </w:pPr>
    </w:p>
    <w:p w:rsidR="00256B9A" w:rsidRPr="00AA024C" w:rsidRDefault="00256B9A" w:rsidP="00256B9A">
      <w:pPr>
        <w:ind w:firstLine="540"/>
        <w:jc w:val="right"/>
      </w:pPr>
    </w:p>
    <w:p w:rsidR="00256B9A" w:rsidRPr="00AA024C" w:rsidRDefault="00256B9A" w:rsidP="00256B9A">
      <w:pPr>
        <w:ind w:firstLine="540"/>
        <w:jc w:val="right"/>
      </w:pPr>
    </w:p>
    <w:p w:rsidR="00256B9A" w:rsidRPr="00AA024C" w:rsidRDefault="00AB52F0" w:rsidP="00256B9A">
      <w:pPr>
        <w:ind w:firstLine="540"/>
        <w:jc w:val="center"/>
        <w:rPr>
          <w:b/>
        </w:rPr>
      </w:pPr>
      <w:r w:rsidRPr="00AA024C">
        <w:rPr>
          <w:b/>
        </w:rPr>
        <w:t>DECLARATION</w:t>
      </w:r>
    </w:p>
    <w:p w:rsidR="00256B9A" w:rsidRPr="00AA024C" w:rsidRDefault="00256B9A" w:rsidP="00256B9A">
      <w:pPr>
        <w:pStyle w:val="Heading6"/>
        <w:ind w:firstLine="540"/>
        <w:jc w:val="center"/>
        <w:rPr>
          <w:sz w:val="24"/>
          <w:szCs w:val="24"/>
        </w:rPr>
      </w:pPr>
    </w:p>
    <w:p w:rsidR="00256B9A" w:rsidRPr="00AA024C" w:rsidRDefault="00543562" w:rsidP="0056593A">
      <w:pPr>
        <w:autoSpaceDE w:val="0"/>
        <w:autoSpaceDN w:val="0"/>
        <w:adjustRightInd w:val="0"/>
        <w:jc w:val="center"/>
      </w:pPr>
      <w:r w:rsidRPr="00AA024C">
        <w:rPr>
          <w:color w:val="000000"/>
        </w:rPr>
        <w:t xml:space="preserve">CONCERNING </w:t>
      </w:r>
      <w:r w:rsidR="008E520F" w:rsidRPr="00AA024C">
        <w:t>COMPL</w:t>
      </w:r>
      <w:r w:rsidR="00A91BD4" w:rsidRPr="00AA024C">
        <w:t>I</w:t>
      </w:r>
      <w:r w:rsidR="008E520F" w:rsidRPr="00AA024C">
        <w:t>ANCE TO</w:t>
      </w:r>
      <w:r w:rsidR="00256B9A" w:rsidRPr="00AA024C">
        <w:t xml:space="preserve"> THE ELIGIBILITY AND QUALIFICATION CRITERIA OF THE BIDDING REQUIREMENTS DEFINED IN THE </w:t>
      </w:r>
      <w:r w:rsidR="00256B9A" w:rsidRPr="00AA024C">
        <w:rPr>
          <w:color w:val="212121"/>
        </w:rPr>
        <w:t xml:space="preserve">PRE-QUALIFICATION ANNOUNCEMENT </w:t>
      </w:r>
      <w:r w:rsidR="00256B9A" w:rsidRPr="005E795E">
        <w:rPr>
          <w:color w:val="212121"/>
        </w:rPr>
        <w:t xml:space="preserve">CODE </w:t>
      </w:r>
      <w:r w:rsidR="00A0745F" w:rsidRPr="005E795E">
        <w:t xml:space="preserve">N </w:t>
      </w:r>
      <w:r w:rsidR="0056593A" w:rsidRPr="005E795E">
        <w:rPr>
          <w:i/>
          <w:color w:val="000000" w:themeColor="text1"/>
        </w:rPr>
        <w:t>S</w:t>
      </w:r>
      <w:r w:rsidR="0056593A" w:rsidRPr="005E795E">
        <w:rPr>
          <w:color w:val="000000" w:themeColor="text1"/>
        </w:rPr>
        <w:t>CWE</w:t>
      </w:r>
      <w:r w:rsidR="0056593A" w:rsidRPr="005E795E">
        <w:rPr>
          <w:i/>
          <w:color w:val="000000" w:themeColor="text1"/>
        </w:rPr>
        <w:t xml:space="preserve"> </w:t>
      </w:r>
      <w:r w:rsidR="0056593A" w:rsidRPr="005E795E">
        <w:rPr>
          <w:color w:val="000000" w:themeColor="text1"/>
        </w:rPr>
        <w:t>of</w:t>
      </w:r>
      <w:r w:rsidR="0056593A" w:rsidRPr="005E795E">
        <w:rPr>
          <w:i/>
          <w:color w:val="000000" w:themeColor="text1"/>
        </w:rPr>
        <w:t xml:space="preserve"> </w:t>
      </w:r>
      <w:r w:rsidR="0056593A" w:rsidRPr="005E795E">
        <w:rPr>
          <w:color w:val="000000" w:themeColor="text1"/>
        </w:rPr>
        <w:t>RA</w:t>
      </w:r>
      <w:r w:rsidR="0056593A" w:rsidRPr="005E795E">
        <w:rPr>
          <w:i/>
          <w:color w:val="000000" w:themeColor="text1"/>
        </w:rPr>
        <w:t xml:space="preserve"> </w:t>
      </w:r>
      <w:r w:rsidR="0056593A" w:rsidRPr="005E795E">
        <w:rPr>
          <w:color w:val="000000" w:themeColor="text1"/>
        </w:rPr>
        <w:t>MoA-CDSA-</w:t>
      </w:r>
      <w:r w:rsidR="0056593A" w:rsidRPr="005E795E">
        <w:t>N</w:t>
      </w:r>
      <w:r w:rsidR="0056593A" w:rsidRPr="005E795E" w:rsidDel="0056593A">
        <w:t xml:space="preserve"> </w:t>
      </w:r>
      <w:r w:rsidR="0056448D" w:rsidRPr="005E795E">
        <w:t>15</w:t>
      </w:r>
      <w:r w:rsidR="0056448D">
        <w:t>/1</w:t>
      </w:r>
    </w:p>
    <w:p w:rsidR="00256B9A" w:rsidRPr="00AA024C" w:rsidRDefault="00256B9A" w:rsidP="00256B9A">
      <w:pPr>
        <w:ind w:firstLine="540"/>
        <w:jc w:val="right"/>
      </w:pPr>
    </w:p>
    <w:p w:rsidR="00256B9A" w:rsidRPr="00AA024C" w:rsidRDefault="00256B9A" w:rsidP="00256B9A">
      <w:pPr>
        <w:ind w:firstLine="720"/>
        <w:jc w:val="both"/>
      </w:pPr>
      <w:r w:rsidRPr="00AA024C">
        <w:t xml:space="preserve">The </w:t>
      </w:r>
      <w:r w:rsidRPr="00AA024C">
        <w:rPr>
          <w:u w:val="single"/>
        </w:rPr>
        <w:t xml:space="preserve">                                                                                       </w:t>
      </w:r>
      <w:r w:rsidRPr="00AA024C">
        <w:t xml:space="preserve"> declares that the information on behalf of the </w:t>
      </w:r>
      <w:r w:rsidR="00A74C65" w:rsidRPr="00AA024C">
        <w:t>bidder</w:t>
      </w:r>
      <w:r w:rsidRPr="00AA024C">
        <w:t xml:space="preserve"> meets the </w:t>
      </w:r>
      <w:r w:rsidR="008D2025" w:rsidRPr="00AA024C">
        <w:t>eligibility</w:t>
      </w:r>
      <w:r w:rsidRPr="00AA024C">
        <w:t xml:space="preserve"> criteria and qualification requirements as defined in the pre-</w:t>
      </w:r>
      <w:r w:rsidR="008D2025" w:rsidRPr="00AA024C">
        <w:t>qualification</w:t>
      </w:r>
      <w:r w:rsidRPr="00AA024C">
        <w:t xml:space="preserve"> announcement code </w:t>
      </w:r>
      <w:r w:rsidR="00A0745F" w:rsidRPr="005E795E">
        <w:t xml:space="preserve">N </w:t>
      </w:r>
      <w:r w:rsidR="00BF7ABA" w:rsidRPr="005E795E">
        <w:rPr>
          <w:i/>
          <w:color w:val="000000" w:themeColor="text1"/>
        </w:rPr>
        <w:t>S</w:t>
      </w:r>
      <w:r w:rsidR="00BF7ABA" w:rsidRPr="005E795E">
        <w:rPr>
          <w:color w:val="000000" w:themeColor="text1"/>
        </w:rPr>
        <w:t>CWE</w:t>
      </w:r>
      <w:r w:rsidR="00BF7ABA" w:rsidRPr="005E795E">
        <w:rPr>
          <w:i/>
          <w:color w:val="000000" w:themeColor="text1"/>
        </w:rPr>
        <w:t xml:space="preserve"> </w:t>
      </w:r>
      <w:r w:rsidR="00BF7ABA" w:rsidRPr="005E795E">
        <w:rPr>
          <w:color w:val="000000" w:themeColor="text1"/>
        </w:rPr>
        <w:t>of</w:t>
      </w:r>
      <w:r w:rsidR="00BF7ABA" w:rsidRPr="005E795E">
        <w:rPr>
          <w:i/>
          <w:color w:val="000000" w:themeColor="text1"/>
        </w:rPr>
        <w:t xml:space="preserve"> </w:t>
      </w:r>
      <w:r w:rsidR="00BF7ABA" w:rsidRPr="005E795E">
        <w:rPr>
          <w:color w:val="000000" w:themeColor="text1"/>
        </w:rPr>
        <w:t>RA</w:t>
      </w:r>
      <w:r w:rsidR="00BF7ABA" w:rsidRPr="005E795E">
        <w:rPr>
          <w:i/>
          <w:color w:val="000000" w:themeColor="text1"/>
        </w:rPr>
        <w:t xml:space="preserve"> </w:t>
      </w:r>
      <w:r w:rsidR="00BF7ABA" w:rsidRPr="005E795E">
        <w:rPr>
          <w:color w:val="000000" w:themeColor="text1"/>
        </w:rPr>
        <w:t>MoA-CDSA-</w:t>
      </w:r>
      <w:r w:rsidR="00BF7ABA" w:rsidRPr="005E795E">
        <w:t>N</w:t>
      </w:r>
      <w:r w:rsidR="008505B3" w:rsidRPr="005E795E">
        <w:t>15/1</w:t>
      </w:r>
    </w:p>
    <w:p w:rsidR="008D2025" w:rsidRPr="00AA024C" w:rsidRDefault="008D2025" w:rsidP="00256B9A">
      <w:pPr>
        <w:ind w:firstLine="720"/>
        <w:jc w:val="both"/>
      </w:pPr>
    </w:p>
    <w:p w:rsidR="008D2025" w:rsidRPr="00AA024C" w:rsidRDefault="008D2025" w:rsidP="00256B9A">
      <w:pPr>
        <w:ind w:firstLine="720"/>
        <w:jc w:val="both"/>
      </w:pPr>
    </w:p>
    <w:p w:rsidR="00256B9A" w:rsidRPr="00AA024C" w:rsidRDefault="00A0745F" w:rsidP="00256B9A">
      <w:pPr>
        <w:ind w:firstLine="720"/>
        <w:jc w:val="both"/>
        <w:rPr>
          <w:i/>
        </w:rPr>
      </w:pPr>
      <w:r>
        <w:t>R</w:t>
      </w:r>
      <w:r w:rsidR="00256B9A" w:rsidRPr="00AA024C">
        <w:t>equired information</w:t>
      </w:r>
      <w:r>
        <w:t xml:space="preserve"> is attached</w:t>
      </w:r>
      <w:r w:rsidR="00256B9A" w:rsidRPr="00AA024C">
        <w:t xml:space="preserve">. </w:t>
      </w:r>
    </w:p>
    <w:p w:rsidR="00256B9A" w:rsidRPr="00AA024C" w:rsidRDefault="00256B9A" w:rsidP="00256B9A">
      <w:pPr>
        <w:pStyle w:val="BodyTextIndent"/>
        <w:spacing w:line="240" w:lineRule="auto"/>
        <w:ind w:firstLine="567"/>
        <w:rPr>
          <w:rFonts w:ascii="Times New Roman" w:hAnsi="Times New Roman"/>
          <w:i w:val="0"/>
          <w:sz w:val="24"/>
          <w:szCs w:val="24"/>
          <w:lang w:val="en-GB"/>
        </w:rPr>
      </w:pPr>
    </w:p>
    <w:p w:rsidR="00A0745F" w:rsidRPr="00AA024C" w:rsidRDefault="00A0745F" w:rsidP="00256B9A">
      <w:pPr>
        <w:ind w:firstLine="540"/>
        <w:jc w:val="center"/>
      </w:pPr>
    </w:p>
    <w:tbl>
      <w:tblPr>
        <w:tblStyle w:val="TableGrid"/>
        <w:tblW w:w="4950" w:type="pct"/>
        <w:tblLook w:val="04A0"/>
      </w:tblPr>
      <w:tblGrid>
        <w:gridCol w:w="1223"/>
        <w:gridCol w:w="1223"/>
        <w:gridCol w:w="1224"/>
        <w:gridCol w:w="1222"/>
        <w:gridCol w:w="1223"/>
        <w:gridCol w:w="383"/>
        <w:gridCol w:w="1625"/>
        <w:gridCol w:w="1625"/>
      </w:tblGrid>
      <w:tr w:rsidR="00A0745F" w:rsidRPr="00DD3423" w:rsidTr="00330F04">
        <w:tc>
          <w:tcPr>
            <w:tcW w:w="5812" w:type="dxa"/>
            <w:gridSpan w:val="5"/>
            <w:tcBorders>
              <w:top w:val="nil"/>
              <w:left w:val="nil"/>
              <w:bottom w:val="single" w:sz="4" w:space="0" w:color="auto"/>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3090" w:type="dxa"/>
            <w:gridSpan w:val="2"/>
            <w:tcBorders>
              <w:top w:val="nil"/>
              <w:left w:val="nil"/>
              <w:bottom w:val="single" w:sz="4" w:space="0" w:color="auto"/>
              <w:right w:val="nil"/>
            </w:tcBorders>
          </w:tcPr>
          <w:p w:rsidR="00A0745F" w:rsidRPr="00DD3423" w:rsidRDefault="00A0745F" w:rsidP="00330F04"/>
        </w:tc>
      </w:tr>
      <w:tr w:rsidR="00A0745F" w:rsidRPr="00DD3423" w:rsidTr="00330F04">
        <w:tc>
          <w:tcPr>
            <w:tcW w:w="5812" w:type="dxa"/>
            <w:gridSpan w:val="5"/>
            <w:tcBorders>
              <w:top w:val="single" w:sz="4" w:space="0" w:color="auto"/>
              <w:left w:val="nil"/>
              <w:bottom w:val="nil"/>
              <w:right w:val="nil"/>
            </w:tcBorders>
          </w:tcPr>
          <w:p w:rsidR="00A0745F" w:rsidRPr="00DD3423" w:rsidRDefault="00A0745F" w:rsidP="00AA4777">
            <w:pPr>
              <w:jc w:val="center"/>
              <w:rPr>
                <w:sz w:val="20"/>
                <w:szCs w:val="20"/>
              </w:rPr>
            </w:pPr>
            <w:r w:rsidRPr="00DD3423">
              <w:rPr>
                <w:sz w:val="20"/>
                <w:szCs w:val="20"/>
              </w:rPr>
              <w:t xml:space="preserve">Name of </w:t>
            </w:r>
            <w:r>
              <w:rPr>
                <w:sz w:val="20"/>
                <w:szCs w:val="20"/>
              </w:rPr>
              <w:t>B</w:t>
            </w:r>
            <w:r w:rsidRPr="00DD3423">
              <w:rPr>
                <w:sz w:val="20"/>
                <w:szCs w:val="20"/>
              </w:rPr>
              <w:t>idder (Position, Name and Surname of the Head)</w:t>
            </w:r>
            <w:r w:rsidRPr="00DD3423">
              <w:rPr>
                <w:sz w:val="20"/>
                <w:szCs w:val="20"/>
              </w:rPr>
              <w:br/>
            </w:r>
          </w:p>
        </w:tc>
        <w:tc>
          <w:tcPr>
            <w:tcW w:w="364" w:type="dxa"/>
            <w:tcBorders>
              <w:top w:val="nil"/>
              <w:left w:val="nil"/>
              <w:bottom w:val="nil"/>
              <w:right w:val="nil"/>
            </w:tcBorders>
          </w:tcPr>
          <w:p w:rsidR="00A0745F" w:rsidRPr="00DD3423" w:rsidRDefault="00A0745F" w:rsidP="00330F04">
            <w:pPr>
              <w:rPr>
                <w:sz w:val="20"/>
                <w:szCs w:val="20"/>
              </w:rPr>
            </w:pPr>
          </w:p>
        </w:tc>
        <w:tc>
          <w:tcPr>
            <w:tcW w:w="3090" w:type="dxa"/>
            <w:gridSpan w:val="2"/>
            <w:tcBorders>
              <w:top w:val="single" w:sz="4" w:space="0" w:color="auto"/>
              <w:left w:val="nil"/>
              <w:bottom w:val="nil"/>
              <w:right w:val="nil"/>
            </w:tcBorders>
          </w:tcPr>
          <w:p w:rsidR="00A0745F" w:rsidRPr="00DD3423" w:rsidRDefault="00A0745F" w:rsidP="00330F04">
            <w:pPr>
              <w:jc w:val="center"/>
              <w:rPr>
                <w:sz w:val="20"/>
                <w:szCs w:val="20"/>
              </w:rPr>
            </w:pPr>
            <w:r w:rsidRPr="00DD3423">
              <w:rPr>
                <w:sz w:val="20"/>
                <w:szCs w:val="20"/>
              </w:rPr>
              <w:t>Signature</w:t>
            </w:r>
          </w:p>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pPr>
              <w:jc w:val="right"/>
            </w:pPr>
            <w:r w:rsidRPr="00DD3423">
              <w:t>S</w:t>
            </w:r>
            <w:r>
              <w:t>tamp</w:t>
            </w:r>
          </w:p>
        </w:tc>
        <w:tc>
          <w:tcPr>
            <w:tcW w:w="1545" w:type="dxa"/>
            <w:tcBorders>
              <w:top w:val="nil"/>
              <w:left w:val="nil"/>
              <w:bottom w:val="nil"/>
              <w:right w:val="nil"/>
            </w:tcBorders>
          </w:tcPr>
          <w:p w:rsidR="00A0745F" w:rsidRPr="00DD3423" w:rsidRDefault="00A0745F" w:rsidP="00330F04"/>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r>
      <w:tr w:rsidR="00A0745F" w:rsidRPr="00DD3423" w:rsidTr="00330F04">
        <w:tc>
          <w:tcPr>
            <w:tcW w:w="1162" w:type="dxa"/>
            <w:tcBorders>
              <w:top w:val="nil"/>
              <w:left w:val="nil"/>
              <w:bottom w:val="nil"/>
              <w:right w:val="nil"/>
            </w:tcBorders>
            <w:vAlign w:val="center"/>
          </w:tcPr>
          <w:p w:rsidR="00A0745F" w:rsidRPr="00DD3423" w:rsidRDefault="00A0745F" w:rsidP="00330F04"/>
        </w:tc>
        <w:tc>
          <w:tcPr>
            <w:tcW w:w="1162" w:type="dxa"/>
            <w:tcBorders>
              <w:top w:val="nil"/>
              <w:left w:val="nil"/>
              <w:bottom w:val="nil"/>
              <w:right w:val="nil"/>
            </w:tcBorders>
            <w:vAlign w:val="center"/>
          </w:tcPr>
          <w:p w:rsidR="00A0745F" w:rsidRPr="00DD3423" w:rsidRDefault="00A0745F" w:rsidP="00330F04"/>
        </w:tc>
        <w:tc>
          <w:tcPr>
            <w:tcW w:w="1163" w:type="dxa"/>
            <w:tcBorders>
              <w:top w:val="nil"/>
              <w:left w:val="nil"/>
              <w:bottom w:val="nil"/>
              <w:right w:val="nil"/>
            </w:tcBorders>
            <w:vAlign w:val="center"/>
          </w:tcPr>
          <w:p w:rsidR="00A0745F" w:rsidRPr="00DD3423" w:rsidRDefault="00A0745F" w:rsidP="00330F04"/>
        </w:tc>
        <w:tc>
          <w:tcPr>
            <w:tcW w:w="1162" w:type="dxa"/>
            <w:tcBorders>
              <w:top w:val="nil"/>
              <w:left w:val="nil"/>
              <w:bottom w:val="nil"/>
              <w:right w:val="nil"/>
            </w:tcBorders>
            <w:vAlign w:val="center"/>
          </w:tcPr>
          <w:p w:rsidR="00A0745F" w:rsidRPr="00DD3423" w:rsidRDefault="00A0745F" w:rsidP="00330F04"/>
        </w:tc>
        <w:tc>
          <w:tcPr>
            <w:tcW w:w="3072" w:type="dxa"/>
            <w:gridSpan w:val="3"/>
            <w:tcBorders>
              <w:top w:val="nil"/>
              <w:left w:val="nil"/>
              <w:bottom w:val="single" w:sz="4" w:space="0" w:color="auto"/>
              <w:right w:val="nil"/>
            </w:tcBorders>
            <w:vAlign w:val="center"/>
          </w:tcPr>
          <w:p w:rsidR="00A0745F" w:rsidRPr="00DD3423" w:rsidRDefault="00A0745F" w:rsidP="00330F04"/>
        </w:tc>
        <w:tc>
          <w:tcPr>
            <w:tcW w:w="1545" w:type="dxa"/>
            <w:tcBorders>
              <w:top w:val="nil"/>
              <w:left w:val="nil"/>
              <w:bottom w:val="nil"/>
              <w:right w:val="nil"/>
            </w:tcBorders>
            <w:vAlign w:val="center"/>
          </w:tcPr>
          <w:p w:rsidR="00A0745F" w:rsidRPr="00DD3423" w:rsidRDefault="000B4398" w:rsidP="00A0745F">
            <w:r w:rsidRPr="005E795E">
              <w:t>20__</w:t>
            </w:r>
          </w:p>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3072" w:type="dxa"/>
            <w:gridSpan w:val="3"/>
            <w:tcBorders>
              <w:top w:val="single" w:sz="4" w:space="0" w:color="auto"/>
              <w:left w:val="nil"/>
              <w:bottom w:val="nil"/>
              <w:right w:val="nil"/>
            </w:tcBorders>
          </w:tcPr>
          <w:p w:rsidR="00A0745F" w:rsidRPr="00DD3423" w:rsidRDefault="00A0745F" w:rsidP="00330F04">
            <w:pPr>
              <w:jc w:val="center"/>
            </w:pPr>
            <w:r w:rsidRPr="00DD3423">
              <w:rPr>
                <w:sz w:val="20"/>
                <w:szCs w:val="20"/>
              </w:rPr>
              <w:t>Date, Month</w:t>
            </w:r>
          </w:p>
        </w:tc>
        <w:tc>
          <w:tcPr>
            <w:tcW w:w="1545" w:type="dxa"/>
            <w:tcBorders>
              <w:top w:val="nil"/>
              <w:left w:val="nil"/>
              <w:bottom w:val="nil"/>
              <w:right w:val="nil"/>
            </w:tcBorders>
          </w:tcPr>
          <w:p w:rsidR="00A0745F" w:rsidRPr="00DD3423" w:rsidRDefault="00A0745F" w:rsidP="00330F04"/>
        </w:tc>
      </w:tr>
    </w:tbl>
    <w:p w:rsidR="00A0745F" w:rsidRDefault="00A0745F">
      <w:pPr>
        <w:spacing w:after="200" w:line="276" w:lineRule="auto"/>
      </w:pPr>
    </w:p>
    <w:p w:rsidR="008D2025" w:rsidRPr="00AA024C" w:rsidRDefault="008D2025">
      <w:pPr>
        <w:spacing w:after="200" w:line="276" w:lineRule="auto"/>
      </w:pPr>
      <w:r w:rsidRPr="00AA024C">
        <w:br w:type="page"/>
      </w:r>
    </w:p>
    <w:p w:rsidR="00256B9A" w:rsidRPr="00AA024C" w:rsidRDefault="00256B9A" w:rsidP="00256B9A">
      <w:pPr>
        <w:ind w:firstLine="540"/>
        <w:jc w:val="right"/>
      </w:pPr>
    </w:p>
    <w:p w:rsidR="00256B9A" w:rsidRPr="00AA024C" w:rsidRDefault="00256B9A" w:rsidP="00256B9A">
      <w:pPr>
        <w:pStyle w:val="BodyTextIndent3"/>
        <w:tabs>
          <w:tab w:val="left" w:pos="1080"/>
          <w:tab w:val="left" w:pos="9638"/>
        </w:tabs>
        <w:ind w:firstLine="540"/>
        <w:jc w:val="right"/>
        <w:rPr>
          <w:rFonts w:ascii="Times New Roman" w:hAnsi="Times New Roman"/>
          <w:i/>
          <w:sz w:val="24"/>
          <w:szCs w:val="24"/>
        </w:rPr>
      </w:pPr>
      <w:r w:rsidRPr="00AA024C">
        <w:rPr>
          <w:rFonts w:ascii="Times New Roman" w:hAnsi="Times New Roman"/>
          <w:i/>
          <w:sz w:val="24"/>
          <w:szCs w:val="24"/>
        </w:rPr>
        <w:t>Annex 2.1.</w:t>
      </w:r>
    </w:p>
    <w:p w:rsidR="00256B9A" w:rsidRPr="00AA024C" w:rsidRDefault="00256B9A" w:rsidP="00256B9A">
      <w:pPr>
        <w:pStyle w:val="BodyTextIndent3"/>
        <w:tabs>
          <w:tab w:val="left" w:pos="1080"/>
        </w:tabs>
        <w:spacing w:line="240" w:lineRule="auto"/>
        <w:ind w:firstLine="547"/>
        <w:jc w:val="right"/>
        <w:rPr>
          <w:rFonts w:ascii="Times New Roman" w:hAnsi="Times New Roman"/>
          <w:i/>
          <w:sz w:val="24"/>
          <w:szCs w:val="24"/>
        </w:rPr>
      </w:pPr>
      <w:r w:rsidRPr="00AA024C">
        <w:rPr>
          <w:rFonts w:ascii="Times New Roman" w:hAnsi="Times New Roman"/>
          <w:i/>
          <w:sz w:val="24"/>
          <w:szCs w:val="24"/>
        </w:rPr>
        <w:t>Pre-qualification announcement regarding</w:t>
      </w:r>
      <w:r w:rsidR="004C7CF6">
        <w:rPr>
          <w:rFonts w:ascii="Times New Roman" w:hAnsi="Times New Roman"/>
          <w:i/>
          <w:sz w:val="24"/>
          <w:szCs w:val="24"/>
        </w:rPr>
        <w:t xml:space="preserve"> </w:t>
      </w:r>
      <w:r w:rsidRPr="00AA024C">
        <w:rPr>
          <w:rFonts w:ascii="Times New Roman" w:hAnsi="Times New Roman"/>
          <w:i/>
          <w:sz w:val="24"/>
          <w:szCs w:val="24"/>
        </w:rPr>
        <w:t xml:space="preserve">competitive </w:t>
      </w:r>
      <w:r w:rsidR="004C7CF6">
        <w:rPr>
          <w:rFonts w:ascii="Times New Roman" w:hAnsi="Times New Roman"/>
          <w:i/>
          <w:sz w:val="24"/>
          <w:szCs w:val="24"/>
        </w:rPr>
        <w:br/>
      </w:r>
      <w:r w:rsidRPr="00AA024C">
        <w:rPr>
          <w:rFonts w:ascii="Times New Roman" w:hAnsi="Times New Roman"/>
          <w:i/>
          <w:sz w:val="24"/>
          <w:szCs w:val="24"/>
        </w:rPr>
        <w:t xml:space="preserve">dialogue procedure code </w:t>
      </w:r>
      <w:r w:rsidR="00A0745F" w:rsidRPr="005E795E">
        <w:rPr>
          <w:rFonts w:ascii="Times New Roman" w:hAnsi="Times New Roman"/>
          <w:i/>
          <w:sz w:val="24"/>
          <w:szCs w:val="24"/>
        </w:rPr>
        <w:t>N</w:t>
      </w:r>
      <w:r w:rsidR="00A0745F" w:rsidRPr="005E795E">
        <w:rPr>
          <w:i/>
        </w:rPr>
        <w:t xml:space="preserve"> </w:t>
      </w:r>
      <w:r w:rsidR="00F97B0D" w:rsidRPr="005E795E">
        <w:rPr>
          <w:rFonts w:ascii="Times New Roman" w:hAnsi="Times New Roman"/>
          <w:i/>
          <w:color w:val="000000" w:themeColor="text1"/>
          <w:sz w:val="24"/>
          <w:szCs w:val="24"/>
        </w:rPr>
        <w:t>S</w:t>
      </w:r>
      <w:r w:rsidR="00F97B0D" w:rsidRPr="005E795E">
        <w:rPr>
          <w:rFonts w:ascii="Times New Roman" w:hAnsi="Times New Roman"/>
          <w:color w:val="000000" w:themeColor="text1"/>
          <w:sz w:val="24"/>
          <w:szCs w:val="24"/>
        </w:rPr>
        <w:t>CWE</w:t>
      </w:r>
      <w:r w:rsidR="00F97B0D" w:rsidRPr="005E795E">
        <w:rPr>
          <w:rFonts w:ascii="Times New Roman" w:hAnsi="Times New Roman"/>
          <w:i/>
          <w:color w:val="000000" w:themeColor="text1"/>
          <w:sz w:val="24"/>
          <w:szCs w:val="24"/>
        </w:rPr>
        <w:t xml:space="preserve"> </w:t>
      </w:r>
      <w:r w:rsidR="00F97B0D" w:rsidRPr="005E795E">
        <w:rPr>
          <w:rFonts w:ascii="Times New Roman" w:hAnsi="Times New Roman"/>
          <w:color w:val="000000" w:themeColor="text1"/>
          <w:sz w:val="24"/>
          <w:szCs w:val="24"/>
        </w:rPr>
        <w:t>of</w:t>
      </w:r>
      <w:r w:rsidR="00F97B0D" w:rsidRPr="005E795E">
        <w:rPr>
          <w:rFonts w:ascii="Times New Roman" w:hAnsi="Times New Roman"/>
          <w:i/>
          <w:color w:val="000000" w:themeColor="text1"/>
          <w:sz w:val="24"/>
          <w:szCs w:val="24"/>
        </w:rPr>
        <w:t xml:space="preserve"> </w:t>
      </w:r>
      <w:r w:rsidR="00F97B0D" w:rsidRPr="005E795E">
        <w:rPr>
          <w:rFonts w:ascii="Times New Roman" w:hAnsi="Times New Roman"/>
          <w:color w:val="000000" w:themeColor="text1"/>
          <w:sz w:val="24"/>
          <w:szCs w:val="24"/>
        </w:rPr>
        <w:t>RA</w:t>
      </w:r>
      <w:r w:rsidR="00F97B0D" w:rsidRPr="005E795E">
        <w:rPr>
          <w:rFonts w:ascii="Times New Roman" w:hAnsi="Times New Roman"/>
          <w:i/>
          <w:color w:val="000000" w:themeColor="text1"/>
          <w:sz w:val="24"/>
          <w:szCs w:val="24"/>
        </w:rPr>
        <w:t xml:space="preserve"> </w:t>
      </w:r>
      <w:r w:rsidR="00F97B0D" w:rsidRPr="005E795E">
        <w:rPr>
          <w:rFonts w:ascii="Times New Roman" w:hAnsi="Times New Roman"/>
          <w:color w:val="000000" w:themeColor="text1"/>
          <w:sz w:val="24"/>
          <w:szCs w:val="24"/>
        </w:rPr>
        <w:t>MoA-CDSA-</w:t>
      </w:r>
      <w:r w:rsidR="00F97B0D" w:rsidRPr="005E795E">
        <w:rPr>
          <w:rFonts w:ascii="Times New Roman" w:hAnsi="Times New Roman"/>
          <w:sz w:val="24"/>
          <w:szCs w:val="24"/>
        </w:rPr>
        <w:t>N</w:t>
      </w:r>
      <w:r w:rsidR="008505B3" w:rsidRPr="005E795E">
        <w:rPr>
          <w:rFonts w:ascii="Times New Roman" w:hAnsi="Times New Roman"/>
          <w:sz w:val="24"/>
          <w:szCs w:val="24"/>
        </w:rPr>
        <w:t xml:space="preserve"> 15/1</w:t>
      </w:r>
      <w:r w:rsidR="00F97B0D" w:rsidRPr="005E795E" w:rsidDel="00F97B0D">
        <w:rPr>
          <w:rFonts w:ascii="Times New Roman" w:hAnsi="Times New Roman"/>
          <w:i/>
          <w:sz w:val="24"/>
          <w:szCs w:val="24"/>
        </w:rPr>
        <w:t xml:space="preserve"> </w:t>
      </w:r>
    </w:p>
    <w:p w:rsidR="00256B9A" w:rsidRPr="00AA024C" w:rsidRDefault="00256B9A" w:rsidP="00256B9A">
      <w:pPr>
        <w:pStyle w:val="BodyTextIndent3"/>
        <w:tabs>
          <w:tab w:val="left" w:pos="1080"/>
        </w:tabs>
        <w:ind w:firstLine="540"/>
        <w:jc w:val="right"/>
        <w:rPr>
          <w:rFonts w:ascii="Times New Roman" w:hAnsi="Times New Roman"/>
          <w:i/>
          <w:sz w:val="24"/>
          <w:szCs w:val="24"/>
        </w:rPr>
      </w:pPr>
    </w:p>
    <w:p w:rsidR="00256B9A" w:rsidRPr="00AA024C" w:rsidRDefault="00256B9A" w:rsidP="00256B9A">
      <w:pPr>
        <w:pStyle w:val="BodyTextIndent3"/>
        <w:tabs>
          <w:tab w:val="left" w:pos="1080"/>
        </w:tabs>
        <w:ind w:firstLine="540"/>
        <w:jc w:val="right"/>
        <w:rPr>
          <w:rFonts w:ascii="Times New Roman" w:hAnsi="Times New Roman"/>
          <w:i/>
          <w:sz w:val="24"/>
          <w:szCs w:val="24"/>
        </w:rPr>
      </w:pPr>
    </w:p>
    <w:p w:rsidR="00AB52F0" w:rsidRPr="00AA024C" w:rsidRDefault="00AB52F0" w:rsidP="00AB52F0">
      <w:pPr>
        <w:ind w:firstLine="540"/>
        <w:jc w:val="center"/>
        <w:rPr>
          <w:b/>
        </w:rPr>
      </w:pPr>
      <w:r w:rsidRPr="00AA024C">
        <w:rPr>
          <w:b/>
        </w:rPr>
        <w:t>DECLARATION</w:t>
      </w:r>
    </w:p>
    <w:p w:rsidR="00256B9A" w:rsidRPr="00AA024C" w:rsidRDefault="00543562" w:rsidP="00256B9A">
      <w:pPr>
        <w:autoSpaceDE w:val="0"/>
        <w:autoSpaceDN w:val="0"/>
        <w:adjustRightInd w:val="0"/>
        <w:ind w:firstLine="700"/>
        <w:contextualSpacing/>
        <w:jc w:val="center"/>
        <w:rPr>
          <w:color w:val="000000"/>
        </w:rPr>
      </w:pPr>
      <w:r w:rsidRPr="00AA024C">
        <w:rPr>
          <w:color w:val="000000"/>
        </w:rPr>
        <w:t xml:space="preserve">CONCERNING </w:t>
      </w:r>
      <w:r w:rsidR="00256B9A" w:rsidRPr="00AA024C">
        <w:rPr>
          <w:color w:val="000000"/>
        </w:rPr>
        <w:t xml:space="preserve">ELIGIBILITY TO PARTICIPATE IN THE PRE-QUALIFICATION PROCEDURE REGARDING COMPETITIVE DIALOGUE PROCEDURE CODE </w:t>
      </w:r>
      <w:r w:rsidR="00A0745F">
        <w:rPr>
          <w:color w:val="000000"/>
        </w:rPr>
        <w:br/>
      </w:r>
      <w:r w:rsidR="00A0745F" w:rsidRPr="005E795E">
        <w:t xml:space="preserve">N </w:t>
      </w:r>
      <w:r w:rsidR="00087FDA" w:rsidRPr="005E795E">
        <w:rPr>
          <w:i/>
          <w:color w:val="000000" w:themeColor="text1"/>
        </w:rPr>
        <w:t>S</w:t>
      </w:r>
      <w:r w:rsidR="00087FDA" w:rsidRPr="005E795E">
        <w:rPr>
          <w:color w:val="000000" w:themeColor="text1"/>
        </w:rPr>
        <w:t>CWE</w:t>
      </w:r>
      <w:r w:rsidR="00087FDA" w:rsidRPr="005E795E">
        <w:rPr>
          <w:i/>
          <w:color w:val="000000" w:themeColor="text1"/>
        </w:rPr>
        <w:t xml:space="preserve"> </w:t>
      </w:r>
      <w:r w:rsidR="00087FDA" w:rsidRPr="005E795E">
        <w:rPr>
          <w:color w:val="000000" w:themeColor="text1"/>
        </w:rPr>
        <w:t>of</w:t>
      </w:r>
      <w:r w:rsidR="00087FDA" w:rsidRPr="005E795E">
        <w:rPr>
          <w:i/>
          <w:color w:val="000000" w:themeColor="text1"/>
        </w:rPr>
        <w:t xml:space="preserve"> </w:t>
      </w:r>
      <w:r w:rsidR="00087FDA" w:rsidRPr="005E795E">
        <w:rPr>
          <w:color w:val="000000" w:themeColor="text1"/>
        </w:rPr>
        <w:t>RA</w:t>
      </w:r>
      <w:r w:rsidR="00087FDA" w:rsidRPr="005E795E">
        <w:rPr>
          <w:i/>
          <w:color w:val="000000" w:themeColor="text1"/>
        </w:rPr>
        <w:t xml:space="preserve"> </w:t>
      </w:r>
      <w:r w:rsidR="00087FDA" w:rsidRPr="005E795E">
        <w:rPr>
          <w:color w:val="000000" w:themeColor="text1"/>
        </w:rPr>
        <w:t>MoA-CDSA-</w:t>
      </w:r>
      <w:r w:rsidR="00087FDA" w:rsidRPr="005E795E">
        <w:t>N</w:t>
      </w:r>
      <w:r w:rsidR="00BE1A2D" w:rsidRPr="005E795E">
        <w:t xml:space="preserve"> 15/1</w:t>
      </w:r>
    </w:p>
    <w:p w:rsidR="00256B9A" w:rsidRPr="00AA024C" w:rsidRDefault="00256B9A" w:rsidP="00256B9A">
      <w:pPr>
        <w:pStyle w:val="BodyTextIndent"/>
        <w:ind w:firstLine="540"/>
        <w:jc w:val="center"/>
        <w:rPr>
          <w:rFonts w:ascii="Times New Roman" w:hAnsi="Times New Roman"/>
          <w:sz w:val="24"/>
          <w:szCs w:val="24"/>
          <w:lang w:val="en-GB"/>
        </w:rPr>
      </w:pPr>
    </w:p>
    <w:p w:rsidR="00256B9A" w:rsidRPr="00AA024C" w:rsidRDefault="00256B9A" w:rsidP="00256B9A">
      <w:pPr>
        <w:ind w:firstLine="540"/>
        <w:jc w:val="both"/>
      </w:pPr>
      <w:r w:rsidRPr="00AA024C">
        <w:rPr>
          <w:bCs/>
        </w:rPr>
        <w:t xml:space="preserve">The </w:t>
      </w:r>
      <w:r w:rsidR="00B3148A" w:rsidRPr="00AA024C">
        <w:t xml:space="preserve"> </w:t>
      </w:r>
      <w:r w:rsidR="00A91BD4" w:rsidRPr="00AA024C">
        <w:rPr>
          <w:u w:val="single"/>
        </w:rPr>
        <w:t xml:space="preserve">                                                                     </w:t>
      </w:r>
      <w:r w:rsidR="00A91BD4" w:rsidRPr="00AA024C">
        <w:t>___________________</w:t>
      </w:r>
      <w:r w:rsidRPr="00AA024C">
        <w:t xml:space="preserve">declares that </w:t>
      </w:r>
      <w:r w:rsidR="00543562" w:rsidRPr="00AA024C">
        <w:t>he/she/it</w:t>
      </w:r>
    </w:p>
    <w:p w:rsidR="002C1DB3" w:rsidRDefault="00256B9A" w:rsidP="00256B9A">
      <w:pPr>
        <w:ind w:firstLine="540"/>
        <w:jc w:val="both"/>
        <w:rPr>
          <w:vertAlign w:val="superscript"/>
        </w:rPr>
      </w:pPr>
      <w:r w:rsidRPr="00AA024C">
        <w:rPr>
          <w:vertAlign w:val="superscript"/>
        </w:rPr>
        <w:t xml:space="preserve">                                 </w:t>
      </w:r>
      <w:r w:rsidR="002C1DB3">
        <w:rPr>
          <w:vertAlign w:val="superscript"/>
        </w:rPr>
        <w:t xml:space="preserve">                                  </w:t>
      </w:r>
      <w:r w:rsidRPr="00AA024C">
        <w:rPr>
          <w:vertAlign w:val="superscript"/>
        </w:rPr>
        <w:t xml:space="preserve">   (name of the </w:t>
      </w:r>
      <w:r w:rsidR="00835F2D" w:rsidRPr="00AA024C">
        <w:rPr>
          <w:vertAlign w:val="superscript"/>
        </w:rPr>
        <w:t>bidder</w:t>
      </w:r>
      <w:r w:rsidRPr="00AA024C">
        <w:rPr>
          <w:vertAlign w:val="superscript"/>
        </w:rPr>
        <w:t xml:space="preserve">)      </w:t>
      </w:r>
      <w:r w:rsidRPr="00AA024C">
        <w:rPr>
          <w:vertAlign w:val="superscript"/>
        </w:rPr>
        <w:tab/>
        <w:t xml:space="preserve">      </w:t>
      </w:r>
    </w:p>
    <w:p w:rsidR="00256B9A" w:rsidRPr="00AA024C" w:rsidRDefault="00256B9A" w:rsidP="00256B9A">
      <w:pPr>
        <w:ind w:firstLine="540"/>
        <w:jc w:val="both"/>
        <w:rPr>
          <w:vertAlign w:val="superscript"/>
        </w:rPr>
      </w:pPr>
      <w:r w:rsidRPr="00AA024C">
        <w:rPr>
          <w:vertAlign w:val="superscript"/>
        </w:rPr>
        <w:t xml:space="preserve">                                                                   </w:t>
      </w:r>
    </w:p>
    <w:p w:rsidR="00256B9A" w:rsidRPr="00AA024C" w:rsidRDefault="00256B9A" w:rsidP="00256B9A">
      <w:pPr>
        <w:autoSpaceDE w:val="0"/>
        <w:autoSpaceDN w:val="0"/>
        <w:adjustRightInd w:val="0"/>
        <w:ind w:firstLine="700"/>
        <w:contextualSpacing/>
        <w:jc w:val="both"/>
        <w:rPr>
          <w:color w:val="000000"/>
        </w:rPr>
      </w:pPr>
      <w:r w:rsidRPr="00AA024C">
        <w:rPr>
          <w:color w:val="000000"/>
        </w:rPr>
        <w:t xml:space="preserve">1) has not been declared bankrupt by the court, </w:t>
      </w:r>
    </w:p>
    <w:p w:rsidR="00256B9A" w:rsidRPr="00AA024C" w:rsidRDefault="00256B9A" w:rsidP="00256B9A">
      <w:pPr>
        <w:autoSpaceDE w:val="0"/>
        <w:autoSpaceDN w:val="0"/>
        <w:adjustRightInd w:val="0"/>
        <w:ind w:firstLine="700"/>
        <w:contextualSpacing/>
        <w:jc w:val="both"/>
        <w:rPr>
          <w:color w:val="000000"/>
        </w:rPr>
      </w:pPr>
      <w:r w:rsidRPr="00AA024C">
        <w:rPr>
          <w:color w:val="000000"/>
        </w:rPr>
        <w:t>2) does not have any</w:t>
      </w:r>
      <w:r w:rsidR="0014086A" w:rsidRPr="00AA024C">
        <w:rPr>
          <w:color w:val="000000"/>
        </w:rPr>
        <w:t xml:space="preserve"> </w:t>
      </w:r>
      <w:r w:rsidR="0014086A" w:rsidRPr="00AA024C">
        <w:rPr>
          <w:color w:val="212121"/>
        </w:rPr>
        <w:t>outstanding tax and mandatory social security payments arrears against the Republic of Armenia</w:t>
      </w:r>
      <w:r w:rsidRPr="00AA024C">
        <w:rPr>
          <w:color w:val="000000"/>
        </w:rPr>
        <w:t xml:space="preserve">, </w:t>
      </w:r>
    </w:p>
    <w:p w:rsidR="00256B9A" w:rsidRPr="00AA024C" w:rsidRDefault="00256B9A" w:rsidP="00256B9A">
      <w:pPr>
        <w:autoSpaceDE w:val="0"/>
        <w:autoSpaceDN w:val="0"/>
        <w:adjustRightInd w:val="0"/>
        <w:ind w:firstLine="700"/>
        <w:contextualSpacing/>
        <w:jc w:val="both"/>
      </w:pPr>
      <w:r w:rsidRPr="00AA024C">
        <w:rPr>
          <w:color w:val="000000"/>
        </w:rPr>
        <w:t xml:space="preserve">3) the representative of the bidding </w:t>
      </w:r>
      <w:r w:rsidR="0014086A" w:rsidRPr="00AA024C">
        <w:rPr>
          <w:color w:val="000000"/>
        </w:rPr>
        <w:t xml:space="preserve">entity’s </w:t>
      </w:r>
      <w:r w:rsidRPr="00AA024C">
        <w:rPr>
          <w:color w:val="000000"/>
        </w:rPr>
        <w:t xml:space="preserve">executive </w:t>
      </w:r>
      <w:r w:rsidR="008D2025" w:rsidRPr="00AA024C">
        <w:rPr>
          <w:color w:val="000000"/>
        </w:rPr>
        <w:t xml:space="preserve">body </w:t>
      </w:r>
      <w:r w:rsidRPr="00AA024C">
        <w:rPr>
          <w:color w:val="000000"/>
        </w:rPr>
        <w:t xml:space="preserve">has not been convicted of crimes committed </w:t>
      </w:r>
      <w:r w:rsidR="006F0DFA" w:rsidRPr="00AA024C">
        <w:rPr>
          <w:color w:val="000000"/>
        </w:rPr>
        <w:t xml:space="preserve">against </w:t>
      </w:r>
      <w:r w:rsidRPr="00AA024C">
        <w:rPr>
          <w:color w:val="000000"/>
        </w:rPr>
        <w:t>economic activity or public service three years prior to the submission of application,</w:t>
      </w:r>
    </w:p>
    <w:p w:rsidR="00256B9A" w:rsidRPr="00AA024C" w:rsidRDefault="00256B9A" w:rsidP="00256B9A">
      <w:pPr>
        <w:autoSpaceDE w:val="0"/>
        <w:autoSpaceDN w:val="0"/>
        <w:adjustRightInd w:val="0"/>
        <w:ind w:firstLine="700"/>
        <w:contextualSpacing/>
        <w:jc w:val="both"/>
      </w:pPr>
      <w:r w:rsidRPr="00AA024C">
        <w:t xml:space="preserve">4) </w:t>
      </w:r>
      <w:r w:rsidR="008D2025" w:rsidRPr="00AA024C">
        <w:t xml:space="preserve">is not included in the list of entities ineligible to participate in procurement </w:t>
      </w:r>
      <w:r w:rsidR="00DF7085" w:rsidRPr="00AA024C">
        <w:t>process</w:t>
      </w:r>
      <w:r w:rsidRPr="00AA024C">
        <w:t>.</w:t>
      </w:r>
      <w:r w:rsidR="00DF7085" w:rsidRPr="00AA024C">
        <w:t xml:space="preserve"> </w:t>
      </w:r>
    </w:p>
    <w:p w:rsidR="00256B9A" w:rsidRPr="00AA024C" w:rsidRDefault="00256B9A" w:rsidP="00256B9A">
      <w:pPr>
        <w:ind w:firstLine="540"/>
      </w:pPr>
    </w:p>
    <w:p w:rsidR="00256B9A" w:rsidRDefault="00256B9A" w:rsidP="00256B9A">
      <w:pPr>
        <w:ind w:firstLine="540"/>
      </w:pPr>
    </w:p>
    <w:p w:rsidR="00A0745F" w:rsidRDefault="00A0745F" w:rsidP="00256B9A">
      <w:pPr>
        <w:ind w:firstLine="540"/>
      </w:pPr>
    </w:p>
    <w:p w:rsidR="00A0745F" w:rsidRDefault="00A0745F" w:rsidP="00256B9A">
      <w:pPr>
        <w:ind w:firstLine="540"/>
      </w:pPr>
    </w:p>
    <w:p w:rsidR="00A0745F" w:rsidRPr="00AA024C" w:rsidRDefault="00A0745F" w:rsidP="00256B9A">
      <w:pPr>
        <w:ind w:firstLine="540"/>
      </w:pPr>
    </w:p>
    <w:tbl>
      <w:tblPr>
        <w:tblStyle w:val="TableGrid"/>
        <w:tblW w:w="4950" w:type="pct"/>
        <w:tblLook w:val="04A0"/>
      </w:tblPr>
      <w:tblGrid>
        <w:gridCol w:w="1223"/>
        <w:gridCol w:w="1223"/>
        <w:gridCol w:w="1224"/>
        <w:gridCol w:w="1222"/>
        <w:gridCol w:w="1223"/>
        <w:gridCol w:w="383"/>
        <w:gridCol w:w="1625"/>
        <w:gridCol w:w="1625"/>
      </w:tblGrid>
      <w:tr w:rsidR="00A0745F" w:rsidRPr="00DD3423" w:rsidTr="00330F04">
        <w:tc>
          <w:tcPr>
            <w:tcW w:w="5812" w:type="dxa"/>
            <w:gridSpan w:val="5"/>
            <w:tcBorders>
              <w:top w:val="nil"/>
              <w:left w:val="nil"/>
              <w:bottom w:val="single" w:sz="4" w:space="0" w:color="auto"/>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3090" w:type="dxa"/>
            <w:gridSpan w:val="2"/>
            <w:tcBorders>
              <w:top w:val="nil"/>
              <w:left w:val="nil"/>
              <w:bottom w:val="single" w:sz="4" w:space="0" w:color="auto"/>
              <w:right w:val="nil"/>
            </w:tcBorders>
          </w:tcPr>
          <w:p w:rsidR="00A0745F" w:rsidRPr="00DD3423" w:rsidRDefault="00A0745F" w:rsidP="00330F04"/>
        </w:tc>
      </w:tr>
      <w:tr w:rsidR="00A0745F" w:rsidRPr="00DD3423" w:rsidTr="00330F04">
        <w:tc>
          <w:tcPr>
            <w:tcW w:w="5812" w:type="dxa"/>
            <w:gridSpan w:val="5"/>
            <w:tcBorders>
              <w:top w:val="single" w:sz="4" w:space="0" w:color="auto"/>
              <w:left w:val="nil"/>
              <w:bottom w:val="nil"/>
              <w:right w:val="nil"/>
            </w:tcBorders>
          </w:tcPr>
          <w:p w:rsidR="00A0745F" w:rsidRPr="00DD3423" w:rsidRDefault="00A0745F" w:rsidP="00AA4777">
            <w:pPr>
              <w:jc w:val="center"/>
              <w:rPr>
                <w:sz w:val="20"/>
                <w:szCs w:val="20"/>
              </w:rPr>
            </w:pPr>
            <w:r w:rsidRPr="00DD3423">
              <w:rPr>
                <w:sz w:val="20"/>
                <w:szCs w:val="20"/>
              </w:rPr>
              <w:t xml:space="preserve">Name of </w:t>
            </w:r>
            <w:r>
              <w:rPr>
                <w:sz w:val="20"/>
                <w:szCs w:val="20"/>
              </w:rPr>
              <w:t>B</w:t>
            </w:r>
            <w:r w:rsidRPr="00DD3423">
              <w:rPr>
                <w:sz w:val="20"/>
                <w:szCs w:val="20"/>
              </w:rPr>
              <w:t>idder (Position, Name and Surname of the Head)</w:t>
            </w:r>
            <w:r w:rsidRPr="00DD3423">
              <w:rPr>
                <w:sz w:val="20"/>
                <w:szCs w:val="20"/>
              </w:rPr>
              <w:br/>
            </w:r>
          </w:p>
        </w:tc>
        <w:tc>
          <w:tcPr>
            <w:tcW w:w="364" w:type="dxa"/>
            <w:tcBorders>
              <w:top w:val="nil"/>
              <w:left w:val="nil"/>
              <w:bottom w:val="nil"/>
              <w:right w:val="nil"/>
            </w:tcBorders>
          </w:tcPr>
          <w:p w:rsidR="00A0745F" w:rsidRPr="00DD3423" w:rsidRDefault="00A0745F" w:rsidP="00330F04">
            <w:pPr>
              <w:rPr>
                <w:sz w:val="20"/>
                <w:szCs w:val="20"/>
              </w:rPr>
            </w:pPr>
          </w:p>
        </w:tc>
        <w:tc>
          <w:tcPr>
            <w:tcW w:w="3090" w:type="dxa"/>
            <w:gridSpan w:val="2"/>
            <w:tcBorders>
              <w:top w:val="single" w:sz="4" w:space="0" w:color="auto"/>
              <w:left w:val="nil"/>
              <w:bottom w:val="nil"/>
              <w:right w:val="nil"/>
            </w:tcBorders>
          </w:tcPr>
          <w:p w:rsidR="00A0745F" w:rsidRPr="00DD3423" w:rsidRDefault="00A0745F" w:rsidP="00330F04">
            <w:pPr>
              <w:jc w:val="center"/>
              <w:rPr>
                <w:sz w:val="20"/>
                <w:szCs w:val="20"/>
              </w:rPr>
            </w:pPr>
            <w:r w:rsidRPr="00DD3423">
              <w:rPr>
                <w:sz w:val="20"/>
                <w:szCs w:val="20"/>
              </w:rPr>
              <w:t>Signature</w:t>
            </w:r>
          </w:p>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pPr>
              <w:jc w:val="right"/>
            </w:pPr>
            <w:r w:rsidRPr="00DD3423">
              <w:t>S</w:t>
            </w:r>
            <w:r>
              <w:t>tamp</w:t>
            </w:r>
          </w:p>
        </w:tc>
        <w:tc>
          <w:tcPr>
            <w:tcW w:w="1545" w:type="dxa"/>
            <w:tcBorders>
              <w:top w:val="nil"/>
              <w:left w:val="nil"/>
              <w:bottom w:val="nil"/>
              <w:right w:val="nil"/>
            </w:tcBorders>
          </w:tcPr>
          <w:p w:rsidR="00A0745F" w:rsidRPr="00DD3423" w:rsidRDefault="00A0745F" w:rsidP="00330F04"/>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r>
      <w:tr w:rsidR="00A0745F" w:rsidRPr="00DD3423" w:rsidTr="00330F04">
        <w:tc>
          <w:tcPr>
            <w:tcW w:w="1162" w:type="dxa"/>
            <w:tcBorders>
              <w:top w:val="nil"/>
              <w:left w:val="nil"/>
              <w:bottom w:val="nil"/>
              <w:right w:val="nil"/>
            </w:tcBorders>
            <w:vAlign w:val="center"/>
          </w:tcPr>
          <w:p w:rsidR="00A0745F" w:rsidRPr="00DD3423" w:rsidRDefault="00A0745F" w:rsidP="00330F04"/>
        </w:tc>
        <w:tc>
          <w:tcPr>
            <w:tcW w:w="1162" w:type="dxa"/>
            <w:tcBorders>
              <w:top w:val="nil"/>
              <w:left w:val="nil"/>
              <w:bottom w:val="nil"/>
              <w:right w:val="nil"/>
            </w:tcBorders>
            <w:vAlign w:val="center"/>
          </w:tcPr>
          <w:p w:rsidR="00A0745F" w:rsidRPr="00DD3423" w:rsidRDefault="00A0745F" w:rsidP="00330F04"/>
        </w:tc>
        <w:tc>
          <w:tcPr>
            <w:tcW w:w="1163" w:type="dxa"/>
            <w:tcBorders>
              <w:top w:val="nil"/>
              <w:left w:val="nil"/>
              <w:bottom w:val="nil"/>
              <w:right w:val="nil"/>
            </w:tcBorders>
            <w:vAlign w:val="center"/>
          </w:tcPr>
          <w:p w:rsidR="00A0745F" w:rsidRPr="00DD3423" w:rsidRDefault="00A0745F" w:rsidP="00330F04"/>
        </w:tc>
        <w:tc>
          <w:tcPr>
            <w:tcW w:w="1162" w:type="dxa"/>
            <w:tcBorders>
              <w:top w:val="nil"/>
              <w:left w:val="nil"/>
              <w:bottom w:val="nil"/>
              <w:right w:val="nil"/>
            </w:tcBorders>
            <w:vAlign w:val="center"/>
          </w:tcPr>
          <w:p w:rsidR="00A0745F" w:rsidRPr="00DD3423" w:rsidRDefault="00A0745F" w:rsidP="00330F04"/>
        </w:tc>
        <w:tc>
          <w:tcPr>
            <w:tcW w:w="3072" w:type="dxa"/>
            <w:gridSpan w:val="3"/>
            <w:tcBorders>
              <w:top w:val="nil"/>
              <w:left w:val="nil"/>
              <w:bottom w:val="single" w:sz="4" w:space="0" w:color="auto"/>
              <w:right w:val="nil"/>
            </w:tcBorders>
            <w:vAlign w:val="center"/>
          </w:tcPr>
          <w:p w:rsidR="00A0745F" w:rsidRPr="00DD3423" w:rsidRDefault="00A0745F" w:rsidP="00330F04"/>
        </w:tc>
        <w:tc>
          <w:tcPr>
            <w:tcW w:w="1545" w:type="dxa"/>
            <w:tcBorders>
              <w:top w:val="nil"/>
              <w:left w:val="nil"/>
              <w:bottom w:val="nil"/>
              <w:right w:val="nil"/>
            </w:tcBorders>
            <w:vAlign w:val="center"/>
          </w:tcPr>
          <w:p w:rsidR="00A0745F" w:rsidRPr="005E795E" w:rsidRDefault="000B4398" w:rsidP="00A0745F">
            <w:r w:rsidRPr="005E795E">
              <w:t>20__</w:t>
            </w:r>
          </w:p>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3072" w:type="dxa"/>
            <w:gridSpan w:val="3"/>
            <w:tcBorders>
              <w:top w:val="single" w:sz="4" w:space="0" w:color="auto"/>
              <w:left w:val="nil"/>
              <w:bottom w:val="nil"/>
              <w:right w:val="nil"/>
            </w:tcBorders>
          </w:tcPr>
          <w:p w:rsidR="00A0745F" w:rsidRPr="00DD3423" w:rsidRDefault="00A0745F" w:rsidP="00330F04">
            <w:pPr>
              <w:jc w:val="center"/>
            </w:pPr>
            <w:r w:rsidRPr="00DD3423">
              <w:rPr>
                <w:sz w:val="20"/>
                <w:szCs w:val="20"/>
              </w:rPr>
              <w:t>Date, Month</w:t>
            </w:r>
          </w:p>
        </w:tc>
        <w:tc>
          <w:tcPr>
            <w:tcW w:w="1545" w:type="dxa"/>
            <w:tcBorders>
              <w:top w:val="nil"/>
              <w:left w:val="nil"/>
              <w:bottom w:val="nil"/>
              <w:right w:val="nil"/>
            </w:tcBorders>
          </w:tcPr>
          <w:p w:rsidR="00A0745F" w:rsidRPr="00DD3423" w:rsidRDefault="00A0745F" w:rsidP="00330F04"/>
        </w:tc>
      </w:tr>
    </w:tbl>
    <w:p w:rsidR="00256B9A" w:rsidRDefault="00256B9A" w:rsidP="00256B9A">
      <w:pPr>
        <w:ind w:firstLine="540"/>
      </w:pPr>
    </w:p>
    <w:p w:rsidR="00256B9A" w:rsidRPr="00AA024C" w:rsidRDefault="00256B9A" w:rsidP="00256B9A">
      <w:pPr>
        <w:pStyle w:val="BodyTextIndent3"/>
        <w:tabs>
          <w:tab w:val="left" w:pos="1080"/>
          <w:tab w:val="left" w:pos="9638"/>
        </w:tabs>
        <w:ind w:firstLine="540"/>
        <w:jc w:val="right"/>
        <w:rPr>
          <w:rFonts w:ascii="Times New Roman" w:hAnsi="Times New Roman"/>
          <w:i/>
          <w:sz w:val="24"/>
          <w:szCs w:val="24"/>
        </w:rPr>
      </w:pPr>
      <w:r w:rsidRPr="00AA024C">
        <w:rPr>
          <w:rFonts w:ascii="Times New Roman" w:hAnsi="Times New Roman"/>
          <w:i/>
          <w:sz w:val="24"/>
          <w:szCs w:val="24"/>
        </w:rPr>
        <w:br w:type="page"/>
      </w:r>
      <w:r w:rsidRPr="00AA024C">
        <w:rPr>
          <w:rFonts w:ascii="Times New Roman" w:hAnsi="Times New Roman"/>
          <w:i/>
          <w:sz w:val="24"/>
          <w:szCs w:val="24"/>
        </w:rPr>
        <w:lastRenderedPageBreak/>
        <w:t xml:space="preserve">Annex 2.2. </w:t>
      </w:r>
    </w:p>
    <w:p w:rsidR="00A0745F" w:rsidRDefault="00256B9A" w:rsidP="00641964">
      <w:pPr>
        <w:pStyle w:val="BodyTextIndent3"/>
        <w:tabs>
          <w:tab w:val="left" w:pos="1080"/>
        </w:tabs>
        <w:spacing w:line="240" w:lineRule="auto"/>
        <w:ind w:firstLine="547"/>
        <w:jc w:val="right"/>
        <w:rPr>
          <w:b/>
        </w:rPr>
      </w:pPr>
      <w:r w:rsidRPr="00AA024C">
        <w:rPr>
          <w:rFonts w:ascii="Times New Roman" w:hAnsi="Times New Roman"/>
          <w:i/>
          <w:sz w:val="24"/>
          <w:szCs w:val="24"/>
        </w:rPr>
        <w:t>Pre-qualification announcement regarding</w:t>
      </w:r>
      <w:r w:rsidR="004C7CF6">
        <w:rPr>
          <w:rFonts w:ascii="Times New Roman" w:hAnsi="Times New Roman"/>
          <w:i/>
          <w:sz w:val="24"/>
          <w:szCs w:val="24"/>
        </w:rPr>
        <w:t xml:space="preserve"> </w:t>
      </w:r>
      <w:r w:rsidRPr="00AA024C">
        <w:rPr>
          <w:rFonts w:ascii="Times New Roman" w:hAnsi="Times New Roman"/>
          <w:i/>
          <w:sz w:val="24"/>
          <w:szCs w:val="24"/>
        </w:rPr>
        <w:t xml:space="preserve">competitive </w:t>
      </w:r>
      <w:r w:rsidR="004C7CF6">
        <w:rPr>
          <w:rFonts w:ascii="Times New Roman" w:hAnsi="Times New Roman"/>
          <w:i/>
          <w:sz w:val="24"/>
          <w:szCs w:val="24"/>
        </w:rPr>
        <w:br/>
      </w:r>
      <w:r w:rsidRPr="00AA024C">
        <w:rPr>
          <w:rFonts w:ascii="Times New Roman" w:hAnsi="Times New Roman"/>
          <w:i/>
          <w:sz w:val="24"/>
          <w:szCs w:val="24"/>
        </w:rPr>
        <w:t xml:space="preserve">dialogue procedure code </w:t>
      </w:r>
      <w:r w:rsidR="00A0745F" w:rsidRPr="005E795E">
        <w:rPr>
          <w:rFonts w:ascii="Times New Roman" w:hAnsi="Times New Roman"/>
          <w:i/>
          <w:sz w:val="24"/>
          <w:szCs w:val="24"/>
        </w:rPr>
        <w:t>N</w:t>
      </w:r>
      <w:r w:rsidR="00A0745F" w:rsidRPr="005E795E">
        <w:rPr>
          <w:i/>
        </w:rPr>
        <w:t xml:space="preserve"> </w:t>
      </w:r>
      <w:r w:rsidR="00641964" w:rsidRPr="005E795E">
        <w:rPr>
          <w:rFonts w:ascii="Times New Roman" w:hAnsi="Times New Roman"/>
          <w:i/>
          <w:color w:val="000000" w:themeColor="text1"/>
          <w:sz w:val="24"/>
          <w:szCs w:val="24"/>
        </w:rPr>
        <w:t>S</w:t>
      </w:r>
      <w:r w:rsidR="00641964" w:rsidRPr="005E795E">
        <w:rPr>
          <w:rFonts w:ascii="Times New Roman" w:hAnsi="Times New Roman"/>
          <w:color w:val="000000" w:themeColor="text1"/>
          <w:sz w:val="24"/>
          <w:szCs w:val="24"/>
        </w:rPr>
        <w:t>CWE</w:t>
      </w:r>
      <w:r w:rsidR="00641964" w:rsidRPr="005E795E">
        <w:rPr>
          <w:rFonts w:ascii="Times New Roman" w:hAnsi="Times New Roman"/>
          <w:i/>
          <w:color w:val="000000" w:themeColor="text1"/>
          <w:sz w:val="24"/>
          <w:szCs w:val="24"/>
        </w:rPr>
        <w:t xml:space="preserve"> </w:t>
      </w:r>
      <w:r w:rsidR="00641964" w:rsidRPr="005E795E">
        <w:rPr>
          <w:rFonts w:ascii="Times New Roman" w:hAnsi="Times New Roman"/>
          <w:color w:val="000000" w:themeColor="text1"/>
          <w:sz w:val="24"/>
          <w:szCs w:val="24"/>
        </w:rPr>
        <w:t>of</w:t>
      </w:r>
      <w:r w:rsidR="00641964" w:rsidRPr="005E795E">
        <w:rPr>
          <w:rFonts w:ascii="Times New Roman" w:hAnsi="Times New Roman"/>
          <w:i/>
          <w:color w:val="000000" w:themeColor="text1"/>
          <w:sz w:val="24"/>
          <w:szCs w:val="24"/>
        </w:rPr>
        <w:t xml:space="preserve"> </w:t>
      </w:r>
      <w:r w:rsidR="00641964" w:rsidRPr="005E795E">
        <w:rPr>
          <w:rFonts w:ascii="Times New Roman" w:hAnsi="Times New Roman"/>
          <w:color w:val="000000" w:themeColor="text1"/>
          <w:sz w:val="24"/>
          <w:szCs w:val="24"/>
        </w:rPr>
        <w:t>RA</w:t>
      </w:r>
      <w:r w:rsidR="00641964" w:rsidRPr="005E795E">
        <w:rPr>
          <w:rFonts w:ascii="Times New Roman" w:hAnsi="Times New Roman"/>
          <w:i/>
          <w:color w:val="000000" w:themeColor="text1"/>
          <w:sz w:val="24"/>
          <w:szCs w:val="24"/>
        </w:rPr>
        <w:t xml:space="preserve"> </w:t>
      </w:r>
      <w:r w:rsidR="00641964" w:rsidRPr="005E795E">
        <w:rPr>
          <w:rFonts w:ascii="Times New Roman" w:hAnsi="Times New Roman"/>
          <w:color w:val="000000" w:themeColor="text1"/>
          <w:sz w:val="24"/>
          <w:szCs w:val="24"/>
        </w:rPr>
        <w:t>MoA-CDSA-</w:t>
      </w:r>
      <w:r w:rsidR="00641964" w:rsidRPr="005E795E">
        <w:rPr>
          <w:rFonts w:ascii="Times New Roman" w:hAnsi="Times New Roman"/>
          <w:sz w:val="24"/>
          <w:szCs w:val="24"/>
        </w:rPr>
        <w:t>N</w:t>
      </w:r>
      <w:r w:rsidR="00BE1A2D" w:rsidRPr="005E795E">
        <w:rPr>
          <w:rFonts w:ascii="Times New Roman" w:hAnsi="Times New Roman"/>
          <w:sz w:val="24"/>
          <w:szCs w:val="24"/>
        </w:rPr>
        <w:t xml:space="preserve"> 15/1</w:t>
      </w:r>
      <w:r w:rsidR="00641964" w:rsidRPr="005E795E" w:rsidDel="00641964">
        <w:rPr>
          <w:rFonts w:ascii="Times New Roman" w:hAnsi="Times New Roman"/>
          <w:i/>
          <w:sz w:val="24"/>
          <w:szCs w:val="24"/>
        </w:rPr>
        <w:t xml:space="preserve"> </w:t>
      </w:r>
    </w:p>
    <w:p w:rsidR="00A0745F" w:rsidRDefault="00A0745F" w:rsidP="00AB52F0">
      <w:pPr>
        <w:ind w:firstLine="540"/>
        <w:jc w:val="center"/>
        <w:rPr>
          <w:b/>
        </w:rPr>
      </w:pPr>
    </w:p>
    <w:p w:rsidR="00A0745F" w:rsidRDefault="00A0745F" w:rsidP="00AB52F0">
      <w:pPr>
        <w:ind w:firstLine="540"/>
        <w:jc w:val="center"/>
        <w:rPr>
          <w:b/>
        </w:rPr>
      </w:pPr>
    </w:p>
    <w:p w:rsidR="00AB52F0" w:rsidRPr="00AA024C" w:rsidRDefault="00AB52F0" w:rsidP="00AB52F0">
      <w:pPr>
        <w:ind w:firstLine="540"/>
        <w:jc w:val="center"/>
        <w:rPr>
          <w:b/>
        </w:rPr>
      </w:pPr>
      <w:r w:rsidRPr="00AA024C">
        <w:rPr>
          <w:b/>
        </w:rPr>
        <w:t>DECLARATION</w:t>
      </w:r>
    </w:p>
    <w:p w:rsidR="00256B9A" w:rsidRPr="00AA024C" w:rsidRDefault="00AB52F0" w:rsidP="00597279">
      <w:pPr>
        <w:pStyle w:val="BodyTextIndent"/>
        <w:spacing w:line="240" w:lineRule="auto"/>
        <w:ind w:firstLine="540"/>
        <w:jc w:val="center"/>
      </w:pPr>
      <w:r w:rsidRPr="00AA024C">
        <w:rPr>
          <w:rFonts w:ascii="Times New Roman" w:hAnsi="Times New Roman"/>
          <w:i w:val="0"/>
          <w:color w:val="000000"/>
          <w:sz w:val="24"/>
          <w:szCs w:val="24"/>
          <w:lang w:val="en-GB"/>
        </w:rPr>
        <w:t>CONCERNING</w:t>
      </w:r>
      <w:r w:rsidRPr="00AA024C">
        <w:rPr>
          <w:rFonts w:ascii="Times New Roman" w:hAnsi="Times New Roman"/>
          <w:color w:val="000000"/>
          <w:sz w:val="24"/>
          <w:szCs w:val="24"/>
          <w:lang w:val="en-GB"/>
        </w:rPr>
        <w:t xml:space="preserve"> </w:t>
      </w:r>
      <w:r w:rsidR="00256B9A" w:rsidRPr="00AA024C">
        <w:rPr>
          <w:rFonts w:ascii="Times New Roman" w:hAnsi="Times New Roman"/>
          <w:i w:val="0"/>
          <w:color w:val="000000"/>
          <w:sz w:val="24"/>
          <w:szCs w:val="24"/>
          <w:lang w:val="en-GB"/>
        </w:rPr>
        <w:t xml:space="preserve">QUALIFICATION REQUIREMENTS TO PARTICIPATE IN THE PRE-QUALIFICATION PROCEDURE REGARDING COMPETITIVE DIALOGUE PROCEDURE </w:t>
      </w:r>
      <w:r w:rsidR="00256B9A" w:rsidRPr="005E795E">
        <w:rPr>
          <w:rFonts w:ascii="Times New Roman" w:hAnsi="Times New Roman"/>
          <w:i w:val="0"/>
          <w:color w:val="000000"/>
          <w:sz w:val="24"/>
          <w:szCs w:val="24"/>
          <w:lang w:val="en-GB"/>
        </w:rPr>
        <w:t xml:space="preserve">CODE </w:t>
      </w:r>
      <w:r w:rsidR="00A0745F" w:rsidRPr="005E795E">
        <w:rPr>
          <w:rFonts w:ascii="Times New Roman" w:hAnsi="Times New Roman"/>
          <w:i w:val="0"/>
          <w:sz w:val="24"/>
          <w:szCs w:val="24"/>
          <w:lang w:val="en-GB"/>
        </w:rPr>
        <w:t>N</w:t>
      </w:r>
      <w:r w:rsidR="00A0745F" w:rsidRPr="005E795E">
        <w:rPr>
          <w:i w:val="0"/>
        </w:rPr>
        <w:t xml:space="preserve"> </w:t>
      </w:r>
      <w:r w:rsidR="00597279" w:rsidRPr="005E795E">
        <w:rPr>
          <w:rFonts w:ascii="Times New Roman" w:hAnsi="Times New Roman"/>
          <w:i w:val="0"/>
          <w:color w:val="000000" w:themeColor="text1"/>
          <w:sz w:val="24"/>
          <w:szCs w:val="24"/>
          <w:lang w:val="en-GB"/>
        </w:rPr>
        <w:t>SCWE of RA MoA-CDSA-</w:t>
      </w:r>
      <w:r w:rsidR="00597279" w:rsidRPr="005E795E">
        <w:rPr>
          <w:rFonts w:ascii="Times New Roman" w:hAnsi="Times New Roman"/>
          <w:i w:val="0"/>
          <w:sz w:val="24"/>
          <w:szCs w:val="24"/>
          <w:lang w:val="en-GB"/>
        </w:rPr>
        <w:t>N</w:t>
      </w:r>
      <w:r w:rsidR="00597279" w:rsidRPr="005E795E" w:rsidDel="00597279">
        <w:rPr>
          <w:rFonts w:ascii="Times New Roman" w:hAnsi="Times New Roman"/>
          <w:i w:val="0"/>
          <w:sz w:val="24"/>
          <w:szCs w:val="24"/>
          <w:lang w:val="en-GB"/>
        </w:rPr>
        <w:t xml:space="preserve"> </w:t>
      </w:r>
      <w:r w:rsidR="00BE1A2D" w:rsidRPr="005E795E">
        <w:rPr>
          <w:rFonts w:ascii="Times New Roman" w:hAnsi="Times New Roman"/>
          <w:i w:val="0"/>
          <w:sz w:val="24"/>
          <w:szCs w:val="24"/>
          <w:lang w:val="en-GB"/>
        </w:rPr>
        <w:t>15</w:t>
      </w:r>
      <w:r w:rsidR="00BE1A2D">
        <w:rPr>
          <w:rFonts w:ascii="Times New Roman" w:hAnsi="Times New Roman"/>
          <w:i w:val="0"/>
          <w:sz w:val="24"/>
          <w:szCs w:val="24"/>
          <w:lang w:val="en-GB"/>
        </w:rPr>
        <w:t>/1</w:t>
      </w:r>
    </w:p>
    <w:p w:rsidR="00256B9A" w:rsidRPr="00AA024C" w:rsidRDefault="00256B9A" w:rsidP="00256B9A">
      <w:pPr>
        <w:ind w:firstLine="720"/>
        <w:jc w:val="both"/>
      </w:pPr>
      <w:r w:rsidRPr="00AA024C">
        <w:t xml:space="preserve">The </w:t>
      </w:r>
      <w:r w:rsidRPr="00AA024C">
        <w:rPr>
          <w:u w:val="single"/>
        </w:rPr>
        <w:t xml:space="preserve">                                                                                                 </w:t>
      </w:r>
      <w:r w:rsidRPr="00AA024C">
        <w:t xml:space="preserve"> declares that</w:t>
      </w:r>
    </w:p>
    <w:p w:rsidR="00256B9A" w:rsidRPr="00AA024C" w:rsidRDefault="00256B9A" w:rsidP="00256B9A">
      <w:pPr>
        <w:ind w:left="2112" w:firstLine="720"/>
        <w:jc w:val="both"/>
        <w:rPr>
          <w:vertAlign w:val="superscript"/>
        </w:rPr>
      </w:pPr>
      <w:r w:rsidRPr="00AA024C">
        <w:rPr>
          <w:vertAlign w:val="superscript"/>
        </w:rPr>
        <w:t xml:space="preserve">name of the </w:t>
      </w:r>
      <w:r w:rsidR="00835F2D" w:rsidRPr="00AA024C">
        <w:rPr>
          <w:vertAlign w:val="superscript"/>
        </w:rPr>
        <w:t>bidder</w:t>
      </w:r>
    </w:p>
    <w:p w:rsidR="00256B9A" w:rsidRPr="00AA024C" w:rsidRDefault="00256B9A" w:rsidP="00256B9A">
      <w:pPr>
        <w:autoSpaceDE w:val="0"/>
        <w:autoSpaceDN w:val="0"/>
        <w:adjustRightInd w:val="0"/>
        <w:ind w:left="708"/>
        <w:contextualSpacing/>
        <w:jc w:val="both"/>
      </w:pPr>
      <w:r w:rsidRPr="00AA024C">
        <w:t xml:space="preserve">the </w:t>
      </w:r>
      <w:r w:rsidR="00A74C65" w:rsidRPr="00AA024C">
        <w:t>bidder</w:t>
      </w:r>
      <w:r w:rsidRPr="00AA024C">
        <w:t xml:space="preserve"> meets the qualification requirements </w:t>
      </w:r>
      <w:r w:rsidR="0014086A" w:rsidRPr="00AA024C">
        <w:t>necessary</w:t>
      </w:r>
      <w:r w:rsidRPr="00AA024C">
        <w:t xml:space="preserve"> for the implementation of </w:t>
      </w:r>
      <w:r w:rsidR="00A74C65" w:rsidRPr="00AA024C">
        <w:t xml:space="preserve">the </w:t>
      </w:r>
      <w:r w:rsidR="0014086A" w:rsidRPr="00AA024C">
        <w:t>Contract</w:t>
      </w:r>
      <w:r w:rsidRPr="00AA024C">
        <w:t xml:space="preserve">. </w:t>
      </w:r>
    </w:p>
    <w:p w:rsidR="00256B9A" w:rsidRPr="00AA024C" w:rsidDel="00261FCA" w:rsidRDefault="00256B9A" w:rsidP="00256B9A">
      <w:pPr>
        <w:spacing w:line="276" w:lineRule="auto"/>
        <w:ind w:firstLine="720"/>
        <w:jc w:val="both"/>
        <w:rPr>
          <w:u w:val="single"/>
        </w:rPr>
      </w:pPr>
      <w:r w:rsidRPr="00AA024C">
        <w:t>Moreover,</w:t>
      </w:r>
      <w:r w:rsidR="001224A8" w:rsidRPr="00AA024C">
        <w:t xml:space="preserve"> </w:t>
      </w:r>
      <w:r w:rsidRPr="00AA024C">
        <w:t xml:space="preserve"> </w:t>
      </w:r>
      <w:r w:rsidRPr="00AA024C">
        <w:rPr>
          <w:u w:val="single"/>
        </w:rPr>
        <w:t xml:space="preserve">                                                                   </w:t>
      </w:r>
      <w:r w:rsidRPr="00AA024C">
        <w:t>confirms that:</w:t>
      </w:r>
    </w:p>
    <w:p w:rsidR="00256B9A" w:rsidRPr="00AA024C" w:rsidRDefault="00256B9A" w:rsidP="00256B9A">
      <w:pPr>
        <w:spacing w:line="276" w:lineRule="auto"/>
        <w:ind w:firstLine="720"/>
        <w:jc w:val="both"/>
        <w:rPr>
          <w:vertAlign w:val="superscript"/>
        </w:rPr>
      </w:pPr>
      <w:r w:rsidRPr="00AA024C">
        <w:rPr>
          <w:vertAlign w:val="superscript"/>
        </w:rPr>
        <w:t xml:space="preserve">        </w:t>
      </w:r>
      <w:r w:rsidRPr="00AA024C">
        <w:rPr>
          <w:vertAlign w:val="superscript"/>
        </w:rPr>
        <w:tab/>
        <w:t xml:space="preserve">                     </w:t>
      </w:r>
      <w:r w:rsidRPr="00AA024C">
        <w:rPr>
          <w:vertAlign w:val="superscript"/>
        </w:rPr>
        <w:tab/>
        <w:t xml:space="preserve">name of the </w:t>
      </w:r>
      <w:r w:rsidR="00835F2D" w:rsidRPr="00AA024C">
        <w:rPr>
          <w:vertAlign w:val="superscript"/>
        </w:rPr>
        <w:t>bidder</w:t>
      </w:r>
      <w:r w:rsidRPr="00AA024C">
        <w:rPr>
          <w:vertAlign w:val="superscript"/>
        </w:rPr>
        <w:t xml:space="preserve"> of the procedure </w:t>
      </w:r>
    </w:p>
    <w:p w:rsidR="0014086A" w:rsidRPr="00AA024C" w:rsidRDefault="0014086A" w:rsidP="00256B9A">
      <w:pPr>
        <w:spacing w:line="276" w:lineRule="auto"/>
        <w:ind w:firstLine="720"/>
        <w:jc w:val="both"/>
        <w:rPr>
          <w:vertAlign w:val="superscript"/>
        </w:rPr>
      </w:pPr>
    </w:p>
    <w:p w:rsidR="0014086A" w:rsidRPr="00AA024C" w:rsidRDefault="0014086A" w:rsidP="00AA4777">
      <w:pPr>
        <w:autoSpaceDE w:val="0"/>
        <w:autoSpaceDN w:val="0"/>
        <w:adjustRightInd w:val="0"/>
        <w:ind w:left="709"/>
        <w:jc w:val="both"/>
      </w:pPr>
      <w:r w:rsidRPr="00AA024C">
        <w:t>1) Compliance of professional activity with the activities envisaged by the Contract:</w:t>
      </w:r>
    </w:p>
    <w:p w:rsidR="0014086A" w:rsidRPr="00AA024C" w:rsidRDefault="0014086A" w:rsidP="0014086A">
      <w:pPr>
        <w:autoSpaceDE w:val="0"/>
        <w:autoSpaceDN w:val="0"/>
        <w:adjustRightInd w:val="0"/>
        <w:ind w:left="709"/>
        <w:jc w:val="both"/>
      </w:pPr>
    </w:p>
    <w:p w:rsidR="0014086A" w:rsidRPr="00AA4777" w:rsidRDefault="0014086A" w:rsidP="00AA4777">
      <w:pPr>
        <w:pStyle w:val="ListParagraph"/>
        <w:numPr>
          <w:ilvl w:val="0"/>
          <w:numId w:val="13"/>
        </w:numPr>
        <w:autoSpaceDE w:val="0"/>
        <w:autoSpaceDN w:val="0"/>
        <w:adjustRightInd w:val="0"/>
        <w:ind w:left="1429"/>
        <w:jc w:val="both"/>
        <w:rPr>
          <w:rFonts w:ascii="Times New Roman" w:hAnsi="Times New Roman"/>
          <w:sz w:val="24"/>
          <w:szCs w:val="24"/>
          <w:lang w:val="en-GB"/>
        </w:rPr>
      </w:pPr>
      <w:r w:rsidRPr="00AA4777">
        <w:rPr>
          <w:rFonts w:ascii="Times New Roman" w:hAnsi="Times New Roman"/>
          <w:sz w:val="24"/>
          <w:szCs w:val="24"/>
          <w:lang w:val="en-GB"/>
        </w:rPr>
        <w:t>For a period of not less than 5 years during the 15 year period prior to the publication of this announcement, should individually (including as a member of</w:t>
      </w:r>
      <w:r w:rsidR="007B51A2">
        <w:rPr>
          <w:rFonts w:ascii="Times New Roman" w:hAnsi="Times New Roman"/>
          <w:sz w:val="24"/>
          <w:szCs w:val="24"/>
          <w:lang w:val="en-GB"/>
        </w:rPr>
        <w:t xml:space="preserve"> a</w:t>
      </w:r>
      <w:r w:rsidRPr="00AA4777">
        <w:rPr>
          <w:rFonts w:ascii="Times New Roman" w:hAnsi="Times New Roman"/>
          <w:sz w:val="24"/>
          <w:szCs w:val="24"/>
          <w:lang w:val="en-GB"/>
        </w:rPr>
        <w:t xml:space="preserve"> consortium) or by its subsidiary or by a company with its 50 percent and more participation (including as a member of</w:t>
      </w:r>
      <w:r w:rsidR="007B51A2">
        <w:rPr>
          <w:rFonts w:ascii="Times New Roman" w:hAnsi="Times New Roman"/>
          <w:sz w:val="24"/>
          <w:szCs w:val="24"/>
          <w:lang w:val="en-GB"/>
        </w:rPr>
        <w:t xml:space="preserve"> a</w:t>
      </w:r>
      <w:r w:rsidRPr="00AA4777">
        <w:rPr>
          <w:rFonts w:ascii="Times New Roman" w:hAnsi="Times New Roman"/>
          <w:sz w:val="24"/>
          <w:szCs w:val="24"/>
          <w:lang w:val="en-GB"/>
        </w:rPr>
        <w:t xml:space="preserve"> consortium) have implemented either: one water systems management, operation and maintenance project having no less than 5-year duration of providing water supply services to at least 600,000 people annually, or two or more water supply projects serving a combined total population of at least 800,000 (with at least one project named serving a population of more than 300,000),</w:t>
      </w:r>
    </w:p>
    <w:p w:rsidR="0014086A" w:rsidRPr="00AA024C" w:rsidRDefault="0014086A" w:rsidP="00AA4777">
      <w:pPr>
        <w:pStyle w:val="ListParagraph"/>
        <w:numPr>
          <w:ilvl w:val="0"/>
          <w:numId w:val="13"/>
        </w:numPr>
        <w:autoSpaceDE w:val="0"/>
        <w:autoSpaceDN w:val="0"/>
        <w:adjustRightInd w:val="0"/>
        <w:ind w:left="1429"/>
        <w:jc w:val="both"/>
        <w:rPr>
          <w:rFonts w:ascii="Times New Roman" w:hAnsi="Times New Roman"/>
          <w:sz w:val="24"/>
          <w:szCs w:val="24"/>
          <w:lang w:val="en-GB"/>
        </w:rPr>
      </w:pPr>
      <w:r w:rsidRPr="00AA4777">
        <w:rPr>
          <w:rFonts w:ascii="Times New Roman" w:hAnsi="Times New Roman"/>
          <w:sz w:val="24"/>
          <w:szCs w:val="24"/>
          <w:lang w:val="en-GB"/>
        </w:rPr>
        <w:t>During the 15 year period prior to the publication of this announcement should individually (including as a member of</w:t>
      </w:r>
      <w:r w:rsidR="007B51A2">
        <w:rPr>
          <w:rFonts w:ascii="Times New Roman" w:hAnsi="Times New Roman"/>
          <w:sz w:val="24"/>
          <w:szCs w:val="24"/>
          <w:lang w:val="en-GB"/>
        </w:rPr>
        <w:t xml:space="preserve"> a</w:t>
      </w:r>
      <w:r w:rsidRPr="00AA4777">
        <w:rPr>
          <w:rFonts w:ascii="Times New Roman" w:hAnsi="Times New Roman"/>
          <w:sz w:val="24"/>
          <w:szCs w:val="24"/>
          <w:lang w:val="en-GB"/>
        </w:rPr>
        <w:t xml:space="preserve"> consortium) or by its subsidiary or by a company with its 50 percent and more participation (including as a member of</w:t>
      </w:r>
      <w:r w:rsidR="007B51A2">
        <w:rPr>
          <w:rFonts w:ascii="Times New Roman" w:hAnsi="Times New Roman"/>
          <w:sz w:val="24"/>
          <w:szCs w:val="24"/>
          <w:lang w:val="en-GB"/>
        </w:rPr>
        <w:t xml:space="preserve"> a</w:t>
      </w:r>
      <w:r w:rsidRPr="00AA4777">
        <w:rPr>
          <w:rFonts w:ascii="Times New Roman" w:hAnsi="Times New Roman"/>
          <w:sz w:val="24"/>
          <w:szCs w:val="24"/>
          <w:lang w:val="en-GB"/>
        </w:rPr>
        <w:t xml:space="preserve"> consortium) have water systems management, operation and maintenance projects providing service in at least three different countries.</w:t>
      </w:r>
    </w:p>
    <w:p w:rsidR="0014086A" w:rsidRPr="00AA024C" w:rsidRDefault="0014086A" w:rsidP="00AA4777">
      <w:pPr>
        <w:autoSpaceDE w:val="0"/>
        <w:autoSpaceDN w:val="0"/>
        <w:adjustRightInd w:val="0"/>
        <w:ind w:left="1418" w:firstLine="60"/>
        <w:jc w:val="both"/>
      </w:pPr>
    </w:p>
    <w:p w:rsidR="0014086A" w:rsidRPr="00AA024C" w:rsidRDefault="0014086A" w:rsidP="0014086A">
      <w:pPr>
        <w:autoSpaceDE w:val="0"/>
        <w:autoSpaceDN w:val="0"/>
        <w:adjustRightInd w:val="0"/>
        <w:ind w:left="709"/>
        <w:jc w:val="both"/>
      </w:pPr>
      <w:r w:rsidRPr="00AA024C">
        <w:t>2) Professional experience:</w:t>
      </w:r>
    </w:p>
    <w:p w:rsidR="0014086A" w:rsidRPr="00AA4777" w:rsidRDefault="0014086A" w:rsidP="00AA4777">
      <w:pPr>
        <w:autoSpaceDE w:val="0"/>
        <w:autoSpaceDN w:val="0"/>
        <w:adjustRightInd w:val="0"/>
        <w:ind w:left="709"/>
        <w:jc w:val="both"/>
      </w:pPr>
    </w:p>
    <w:p w:rsidR="0014086A" w:rsidRPr="00AA4777" w:rsidRDefault="0014086A" w:rsidP="00AA4777">
      <w:pPr>
        <w:pStyle w:val="ListParagraph"/>
        <w:numPr>
          <w:ilvl w:val="0"/>
          <w:numId w:val="14"/>
        </w:numPr>
        <w:autoSpaceDE w:val="0"/>
        <w:autoSpaceDN w:val="0"/>
        <w:adjustRightInd w:val="0"/>
        <w:ind w:left="1429"/>
        <w:jc w:val="both"/>
        <w:rPr>
          <w:rFonts w:ascii="Times New Roman" w:hAnsi="Times New Roman"/>
          <w:sz w:val="24"/>
          <w:szCs w:val="24"/>
          <w:lang w:val="en-GB"/>
        </w:rPr>
      </w:pPr>
      <w:r w:rsidRPr="00AA4777">
        <w:rPr>
          <w:rFonts w:ascii="Times New Roman" w:hAnsi="Times New Roman"/>
          <w:sz w:val="24"/>
          <w:szCs w:val="24"/>
          <w:lang w:val="en-GB"/>
        </w:rPr>
        <w:t>Should individually (including as a member of</w:t>
      </w:r>
      <w:r w:rsidR="007B51A2">
        <w:rPr>
          <w:rFonts w:ascii="Times New Roman" w:hAnsi="Times New Roman"/>
          <w:sz w:val="24"/>
          <w:szCs w:val="24"/>
          <w:lang w:val="en-GB"/>
        </w:rPr>
        <w:t xml:space="preserve"> a</w:t>
      </w:r>
      <w:r w:rsidRPr="00AA4777">
        <w:rPr>
          <w:rFonts w:ascii="Times New Roman" w:hAnsi="Times New Roman"/>
          <w:sz w:val="24"/>
          <w:szCs w:val="24"/>
          <w:lang w:val="en-GB"/>
        </w:rPr>
        <w:t xml:space="preserve"> consortium) or by its subsidiary or by a company with its 50 percent and more participation (including as a member of</w:t>
      </w:r>
      <w:r w:rsidR="007B51A2">
        <w:rPr>
          <w:rFonts w:ascii="Times New Roman" w:hAnsi="Times New Roman"/>
          <w:sz w:val="24"/>
          <w:szCs w:val="24"/>
          <w:lang w:val="en-GB"/>
        </w:rPr>
        <w:t xml:space="preserve"> a</w:t>
      </w:r>
      <w:r w:rsidRPr="00AA4777">
        <w:rPr>
          <w:rFonts w:ascii="Times New Roman" w:hAnsi="Times New Roman"/>
          <w:sz w:val="24"/>
          <w:szCs w:val="24"/>
          <w:lang w:val="en-GB"/>
        </w:rPr>
        <w:t xml:space="preserve"> consortium) have performed reconstruction and renovation of water systems for at least three projects each costing not less than the equivalent of US</w:t>
      </w:r>
      <w:r w:rsidR="002807A9">
        <w:rPr>
          <w:rFonts w:ascii="Times New Roman" w:hAnsi="Times New Roman"/>
          <w:sz w:val="24"/>
          <w:szCs w:val="24"/>
          <w:lang w:val="en-GB"/>
        </w:rPr>
        <w:t>D</w:t>
      </w:r>
      <w:r w:rsidRPr="00AA4777">
        <w:rPr>
          <w:rFonts w:ascii="Times New Roman" w:hAnsi="Times New Roman"/>
          <w:sz w:val="24"/>
          <w:szCs w:val="24"/>
          <w:lang w:val="en-GB"/>
        </w:rPr>
        <w:t xml:space="preserve"> 5</w:t>
      </w:r>
      <w:r w:rsidR="002807A9">
        <w:rPr>
          <w:rFonts w:ascii="Times New Roman" w:hAnsi="Times New Roman"/>
          <w:sz w:val="24"/>
          <w:szCs w:val="24"/>
          <w:lang w:val="en-GB"/>
        </w:rPr>
        <w:t xml:space="preserve"> million</w:t>
      </w:r>
      <w:r w:rsidRPr="00AA4777">
        <w:rPr>
          <w:rFonts w:ascii="Times New Roman" w:hAnsi="Times New Roman"/>
          <w:sz w:val="24"/>
          <w:szCs w:val="24"/>
          <w:lang w:val="en-GB"/>
        </w:rPr>
        <w:t xml:space="preserve"> during the 15 year period prior to the </w:t>
      </w:r>
      <w:r w:rsidRPr="00AA024C">
        <w:rPr>
          <w:rFonts w:ascii="Times New Roman" w:hAnsi="Times New Roman"/>
          <w:sz w:val="24"/>
          <w:szCs w:val="24"/>
          <w:lang w:val="en-GB"/>
        </w:rPr>
        <w:t>publication</w:t>
      </w:r>
      <w:r w:rsidRPr="00AA4777">
        <w:rPr>
          <w:rFonts w:ascii="Times New Roman" w:hAnsi="Times New Roman"/>
          <w:sz w:val="24"/>
          <w:szCs w:val="24"/>
          <w:lang w:val="en-GB"/>
        </w:rPr>
        <w:t xml:space="preserve"> of this announcement,</w:t>
      </w:r>
    </w:p>
    <w:p w:rsidR="0014086A" w:rsidRPr="00AA4777" w:rsidRDefault="0014086A" w:rsidP="00AA4777">
      <w:pPr>
        <w:pStyle w:val="ListParagraph"/>
        <w:numPr>
          <w:ilvl w:val="0"/>
          <w:numId w:val="14"/>
        </w:numPr>
        <w:autoSpaceDE w:val="0"/>
        <w:autoSpaceDN w:val="0"/>
        <w:adjustRightInd w:val="0"/>
        <w:ind w:left="1429"/>
        <w:jc w:val="both"/>
        <w:rPr>
          <w:rFonts w:ascii="Times New Roman" w:hAnsi="Times New Roman"/>
          <w:sz w:val="24"/>
          <w:szCs w:val="24"/>
          <w:lang w:val="en-GB"/>
        </w:rPr>
      </w:pPr>
      <w:r w:rsidRPr="00AA024C">
        <w:rPr>
          <w:rFonts w:ascii="Times New Roman" w:hAnsi="Times New Roman"/>
          <w:sz w:val="24"/>
          <w:szCs w:val="24"/>
          <w:lang w:val="en-GB"/>
        </w:rPr>
        <w:t>D</w:t>
      </w:r>
      <w:r w:rsidRPr="00AA4777">
        <w:rPr>
          <w:rFonts w:ascii="Times New Roman" w:hAnsi="Times New Roman"/>
          <w:sz w:val="24"/>
          <w:szCs w:val="24"/>
          <w:lang w:val="en-GB"/>
        </w:rPr>
        <w:t xml:space="preserve">uring the 15 year period prior to the </w:t>
      </w:r>
      <w:r w:rsidRPr="00AA024C">
        <w:rPr>
          <w:rFonts w:ascii="Times New Roman" w:hAnsi="Times New Roman"/>
          <w:sz w:val="24"/>
          <w:szCs w:val="24"/>
          <w:lang w:val="en-GB"/>
        </w:rPr>
        <w:t>publication</w:t>
      </w:r>
      <w:r w:rsidRPr="00AA4777">
        <w:rPr>
          <w:rFonts w:ascii="Times New Roman" w:hAnsi="Times New Roman"/>
          <w:sz w:val="24"/>
          <w:szCs w:val="24"/>
          <w:lang w:val="en-GB"/>
        </w:rPr>
        <w:t xml:space="preserve"> of this </w:t>
      </w:r>
      <w:r w:rsidRPr="00AA024C">
        <w:rPr>
          <w:rFonts w:ascii="Times New Roman" w:hAnsi="Times New Roman"/>
          <w:sz w:val="24"/>
          <w:szCs w:val="24"/>
          <w:lang w:val="en-GB"/>
        </w:rPr>
        <w:t>announcement</w:t>
      </w:r>
      <w:r w:rsidRPr="00AA4777">
        <w:rPr>
          <w:rFonts w:ascii="Times New Roman" w:hAnsi="Times New Roman"/>
          <w:b/>
          <w:sz w:val="24"/>
          <w:szCs w:val="24"/>
          <w:lang w:val="en-GB"/>
        </w:rPr>
        <w:t xml:space="preserve"> </w:t>
      </w:r>
      <w:r w:rsidRPr="00AA4777">
        <w:rPr>
          <w:rFonts w:ascii="Times New Roman" w:hAnsi="Times New Roman"/>
          <w:sz w:val="24"/>
          <w:szCs w:val="24"/>
          <w:lang w:val="en-GB"/>
        </w:rPr>
        <w:t>should</w:t>
      </w:r>
      <w:r w:rsidRPr="00AA024C">
        <w:rPr>
          <w:rFonts w:ascii="Times New Roman" w:hAnsi="Times New Roman"/>
          <w:sz w:val="24"/>
          <w:szCs w:val="24"/>
          <w:lang w:val="en-GB"/>
        </w:rPr>
        <w:t xml:space="preserve"> individually (including as a member of</w:t>
      </w:r>
      <w:r w:rsidR="007B51A2">
        <w:rPr>
          <w:rFonts w:ascii="Times New Roman" w:hAnsi="Times New Roman"/>
          <w:sz w:val="24"/>
          <w:szCs w:val="24"/>
          <w:lang w:val="en-GB"/>
        </w:rPr>
        <w:t xml:space="preserve"> a</w:t>
      </w:r>
      <w:r w:rsidRPr="00AA024C">
        <w:rPr>
          <w:rFonts w:ascii="Times New Roman" w:hAnsi="Times New Roman"/>
          <w:sz w:val="24"/>
          <w:szCs w:val="24"/>
          <w:lang w:val="en-GB"/>
        </w:rPr>
        <w:t xml:space="preserve"> consortium) or by its subsidiary or by a company with its 50 percent and more participation (including as a member of</w:t>
      </w:r>
      <w:r w:rsidR="007B51A2">
        <w:rPr>
          <w:rFonts w:ascii="Times New Roman" w:hAnsi="Times New Roman"/>
          <w:sz w:val="24"/>
          <w:szCs w:val="24"/>
          <w:lang w:val="en-GB"/>
        </w:rPr>
        <w:t xml:space="preserve"> a</w:t>
      </w:r>
      <w:r w:rsidRPr="00AA024C">
        <w:rPr>
          <w:rFonts w:ascii="Times New Roman" w:hAnsi="Times New Roman"/>
          <w:sz w:val="24"/>
          <w:szCs w:val="24"/>
          <w:lang w:val="en-GB"/>
        </w:rPr>
        <w:t xml:space="preserve"> consortium) </w:t>
      </w:r>
      <w:r w:rsidRPr="00AA4777">
        <w:rPr>
          <w:rFonts w:ascii="Times New Roman" w:hAnsi="Times New Roman"/>
          <w:sz w:val="24"/>
          <w:szCs w:val="24"/>
          <w:lang w:val="en-GB"/>
        </w:rPr>
        <w:t>have</w:t>
      </w:r>
      <w:r w:rsidRPr="00AA024C">
        <w:rPr>
          <w:rFonts w:ascii="Times New Roman" w:hAnsi="Times New Roman"/>
          <w:sz w:val="24"/>
          <w:szCs w:val="24"/>
          <w:lang w:val="en-GB"/>
        </w:rPr>
        <w:t xml:space="preserve"> implemented at least</w:t>
      </w:r>
      <w:r w:rsidRPr="00AA4777">
        <w:rPr>
          <w:rFonts w:ascii="Times New Roman" w:hAnsi="Times New Roman"/>
          <w:sz w:val="24"/>
          <w:szCs w:val="24"/>
          <w:lang w:val="en-GB"/>
        </w:rPr>
        <w:t xml:space="preserve"> one project</w:t>
      </w:r>
      <w:r w:rsidRPr="00AA024C">
        <w:rPr>
          <w:rFonts w:ascii="Times New Roman" w:hAnsi="Times New Roman"/>
          <w:sz w:val="24"/>
          <w:szCs w:val="24"/>
          <w:lang w:val="en-GB"/>
        </w:rPr>
        <w:t xml:space="preserve"> </w:t>
      </w:r>
      <w:r w:rsidRPr="00AA4777">
        <w:rPr>
          <w:rFonts w:ascii="Times New Roman" w:hAnsi="Times New Roman"/>
          <w:sz w:val="24"/>
          <w:szCs w:val="24"/>
          <w:lang w:val="en-GB"/>
        </w:rPr>
        <w:t xml:space="preserve">of water systems management, operation and maintenance providing service to at least 100,000 people in the territory of the </w:t>
      </w:r>
      <w:r w:rsidRPr="00AA024C">
        <w:rPr>
          <w:rFonts w:ascii="Times New Roman" w:hAnsi="Times New Roman"/>
          <w:sz w:val="24"/>
          <w:szCs w:val="24"/>
          <w:lang w:val="en-GB"/>
        </w:rPr>
        <w:t>Republic of Armenia with duration of not less than 5 years</w:t>
      </w:r>
      <w:r w:rsidRPr="00AA4777">
        <w:rPr>
          <w:rFonts w:ascii="Times New Roman" w:hAnsi="Times New Roman"/>
          <w:sz w:val="24"/>
          <w:szCs w:val="24"/>
          <w:lang w:val="en-GB"/>
        </w:rPr>
        <w:t>.</w:t>
      </w:r>
    </w:p>
    <w:p w:rsidR="0014086A" w:rsidRPr="00AA4777" w:rsidRDefault="0014086A" w:rsidP="00AA4777">
      <w:pPr>
        <w:autoSpaceDE w:val="0"/>
        <w:autoSpaceDN w:val="0"/>
        <w:adjustRightInd w:val="0"/>
        <w:ind w:left="1418"/>
        <w:jc w:val="both"/>
      </w:pPr>
    </w:p>
    <w:p w:rsidR="0014086A" w:rsidRPr="00A0745F" w:rsidRDefault="0014086A" w:rsidP="00AA4777">
      <w:pPr>
        <w:autoSpaceDE w:val="0"/>
        <w:autoSpaceDN w:val="0"/>
        <w:adjustRightInd w:val="0"/>
        <w:ind w:left="709"/>
        <w:jc w:val="both"/>
      </w:pPr>
      <w:r w:rsidRPr="00AA024C">
        <w:lastRenderedPageBreak/>
        <w:t>3) Financial capabilities:</w:t>
      </w:r>
      <w:r w:rsidRPr="00D94BA6">
        <w:t xml:space="preserve"> Turnover in respect </w:t>
      </w:r>
      <w:r w:rsidRPr="00A0745F">
        <w:t>of water system operations of a bidder (including as a member of</w:t>
      </w:r>
      <w:r w:rsidR="007B51A2">
        <w:t xml:space="preserve"> a</w:t>
      </w:r>
      <w:r w:rsidRPr="00A0745F">
        <w:t xml:space="preserve"> </w:t>
      </w:r>
      <w:r w:rsidRPr="008137A8">
        <w:t xml:space="preserve">consortium) or its subsidiary or a company with its 50 percent and more participation (including as a member of consortium) during the last </w:t>
      </w:r>
      <w:r w:rsidRPr="00AA024C">
        <w:t xml:space="preserve">5 </w:t>
      </w:r>
      <w:r w:rsidRPr="00D94BA6">
        <w:t xml:space="preserve">years prior to the </w:t>
      </w:r>
      <w:r w:rsidRPr="00A0745F">
        <w:t>publication of this announcement: annual average turnover equivalent to at least</w:t>
      </w:r>
      <w:r w:rsidRPr="00AA024C">
        <w:t xml:space="preserve"> </w:t>
      </w:r>
      <w:r w:rsidRPr="00D94BA6">
        <w:t>US</w:t>
      </w:r>
      <w:r w:rsidR="002807A9">
        <w:t>D</w:t>
      </w:r>
      <w:r w:rsidRPr="00D94BA6">
        <w:t xml:space="preserve"> 50 million.</w:t>
      </w:r>
    </w:p>
    <w:p w:rsidR="0014086A" w:rsidRPr="00AA024C" w:rsidRDefault="0014086A" w:rsidP="00256B9A">
      <w:pPr>
        <w:autoSpaceDE w:val="0"/>
        <w:autoSpaceDN w:val="0"/>
        <w:adjustRightInd w:val="0"/>
        <w:ind w:left="709"/>
        <w:jc w:val="both"/>
      </w:pPr>
    </w:p>
    <w:p w:rsidR="00256B9A" w:rsidRDefault="00256B9A" w:rsidP="00725BEC">
      <w:pPr>
        <w:autoSpaceDE w:val="0"/>
        <w:autoSpaceDN w:val="0"/>
        <w:adjustRightInd w:val="0"/>
        <w:ind w:left="709"/>
        <w:jc w:val="both"/>
      </w:pPr>
    </w:p>
    <w:p w:rsidR="00AA024C" w:rsidRPr="00AA024C" w:rsidRDefault="00AA024C" w:rsidP="00725BEC">
      <w:pPr>
        <w:autoSpaceDE w:val="0"/>
        <w:autoSpaceDN w:val="0"/>
        <w:adjustRightInd w:val="0"/>
        <w:ind w:left="709"/>
        <w:jc w:val="both"/>
      </w:pPr>
    </w:p>
    <w:p w:rsidR="00256B9A" w:rsidRPr="00AA024C" w:rsidRDefault="00256B9A" w:rsidP="00256B9A">
      <w:pPr>
        <w:ind w:left="708"/>
        <w:jc w:val="both"/>
      </w:pPr>
      <w:r w:rsidRPr="00AA024C">
        <w:t>Attach</w:t>
      </w:r>
      <w:r w:rsidR="00AA024C" w:rsidRPr="00AA024C">
        <w:t>ments</w:t>
      </w:r>
      <w:r w:rsidRPr="00AA024C">
        <w:t xml:space="preserve"> </w:t>
      </w:r>
      <w:r w:rsidR="00AA024C" w:rsidRPr="00AA024C">
        <w:t>include the following</w:t>
      </w:r>
      <w:r w:rsidRPr="00AA024C">
        <w:t xml:space="preserve"> documents</w:t>
      </w:r>
      <w:r w:rsidR="00AA024C" w:rsidRPr="00AA024C">
        <w:t>:</w:t>
      </w:r>
    </w:p>
    <w:p w:rsidR="00256B9A" w:rsidRPr="00AA024C" w:rsidRDefault="00256B9A" w:rsidP="00256B9A">
      <w:pPr>
        <w:ind w:left="708"/>
        <w:jc w:val="both"/>
      </w:pPr>
    </w:p>
    <w:p w:rsidR="00256B9A" w:rsidRPr="00AA024C" w:rsidRDefault="00256B9A" w:rsidP="00256B9A">
      <w:pPr>
        <w:numPr>
          <w:ilvl w:val="0"/>
          <w:numId w:val="1"/>
        </w:numPr>
        <w:jc w:val="both"/>
      </w:pPr>
      <w:r w:rsidRPr="00AA024C">
        <w:t>_____________________________</w:t>
      </w:r>
    </w:p>
    <w:p w:rsidR="00AA024C" w:rsidRPr="00AA024C" w:rsidRDefault="00AA024C" w:rsidP="00AA4777">
      <w:pPr>
        <w:ind w:left="1068"/>
        <w:jc w:val="both"/>
      </w:pPr>
    </w:p>
    <w:p w:rsidR="00256B9A" w:rsidRPr="00AA024C" w:rsidRDefault="00256B9A" w:rsidP="00256B9A">
      <w:pPr>
        <w:numPr>
          <w:ilvl w:val="0"/>
          <w:numId w:val="1"/>
        </w:numPr>
        <w:jc w:val="both"/>
      </w:pPr>
      <w:r w:rsidRPr="00AA024C">
        <w:t>_____________________________</w:t>
      </w:r>
    </w:p>
    <w:p w:rsidR="00AA024C" w:rsidRPr="00AA024C" w:rsidRDefault="00AA024C" w:rsidP="00AA4777">
      <w:pPr>
        <w:ind w:left="1068"/>
        <w:jc w:val="both"/>
      </w:pPr>
    </w:p>
    <w:p w:rsidR="00256B9A" w:rsidRPr="00AA024C" w:rsidRDefault="00256B9A" w:rsidP="00256B9A">
      <w:pPr>
        <w:numPr>
          <w:ilvl w:val="0"/>
          <w:numId w:val="1"/>
        </w:numPr>
        <w:jc w:val="both"/>
      </w:pPr>
      <w:r w:rsidRPr="00AA024C">
        <w:t>______________________________</w:t>
      </w:r>
    </w:p>
    <w:p w:rsidR="00AA024C" w:rsidRPr="00AA024C" w:rsidRDefault="00AA024C" w:rsidP="00AA4777">
      <w:pPr>
        <w:ind w:left="1068"/>
        <w:jc w:val="both"/>
      </w:pPr>
    </w:p>
    <w:p w:rsidR="00AA024C" w:rsidRPr="00AA024C" w:rsidRDefault="00AA024C" w:rsidP="00AA024C">
      <w:pPr>
        <w:numPr>
          <w:ilvl w:val="0"/>
          <w:numId w:val="1"/>
        </w:numPr>
        <w:jc w:val="both"/>
      </w:pPr>
      <w:r w:rsidRPr="00AA024C">
        <w:t>______________________________</w:t>
      </w:r>
    </w:p>
    <w:p w:rsidR="00AA024C" w:rsidRPr="00AA024C" w:rsidRDefault="00AA024C" w:rsidP="00AA4777">
      <w:pPr>
        <w:ind w:left="1068"/>
        <w:jc w:val="both"/>
      </w:pPr>
    </w:p>
    <w:p w:rsidR="00AA024C" w:rsidRDefault="00AA024C" w:rsidP="00AA4777">
      <w:pPr>
        <w:ind w:left="1068"/>
        <w:jc w:val="both"/>
      </w:pPr>
    </w:p>
    <w:p w:rsidR="00AA024C" w:rsidRDefault="00AA024C" w:rsidP="00AA4777">
      <w:pPr>
        <w:ind w:left="1068"/>
        <w:jc w:val="both"/>
      </w:pPr>
    </w:p>
    <w:p w:rsidR="00AA024C" w:rsidRDefault="00AA024C" w:rsidP="00AA4777">
      <w:pPr>
        <w:ind w:left="1068"/>
        <w:jc w:val="both"/>
      </w:pPr>
    </w:p>
    <w:p w:rsidR="00256B9A" w:rsidRPr="00AA024C" w:rsidRDefault="00256B9A" w:rsidP="00AA4777">
      <w:pPr>
        <w:ind w:left="1068"/>
        <w:jc w:val="both"/>
      </w:pPr>
    </w:p>
    <w:tbl>
      <w:tblPr>
        <w:tblStyle w:val="TableGrid"/>
        <w:tblW w:w="4950" w:type="pct"/>
        <w:tblLook w:val="04A0"/>
      </w:tblPr>
      <w:tblGrid>
        <w:gridCol w:w="1223"/>
        <w:gridCol w:w="1223"/>
        <w:gridCol w:w="1224"/>
        <w:gridCol w:w="1222"/>
        <w:gridCol w:w="1223"/>
        <w:gridCol w:w="383"/>
        <w:gridCol w:w="1625"/>
        <w:gridCol w:w="1625"/>
      </w:tblGrid>
      <w:tr w:rsidR="00A0745F" w:rsidRPr="00DD3423" w:rsidTr="00330F04">
        <w:tc>
          <w:tcPr>
            <w:tcW w:w="5812" w:type="dxa"/>
            <w:gridSpan w:val="5"/>
            <w:tcBorders>
              <w:top w:val="nil"/>
              <w:left w:val="nil"/>
              <w:bottom w:val="single" w:sz="4" w:space="0" w:color="auto"/>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3090" w:type="dxa"/>
            <w:gridSpan w:val="2"/>
            <w:tcBorders>
              <w:top w:val="nil"/>
              <w:left w:val="nil"/>
              <w:bottom w:val="single" w:sz="4" w:space="0" w:color="auto"/>
              <w:right w:val="nil"/>
            </w:tcBorders>
          </w:tcPr>
          <w:p w:rsidR="00A0745F" w:rsidRPr="00DD3423" w:rsidRDefault="00A0745F" w:rsidP="00330F04"/>
        </w:tc>
      </w:tr>
      <w:tr w:rsidR="00A0745F" w:rsidRPr="00DD3423" w:rsidTr="00330F04">
        <w:tc>
          <w:tcPr>
            <w:tcW w:w="5812" w:type="dxa"/>
            <w:gridSpan w:val="5"/>
            <w:tcBorders>
              <w:top w:val="single" w:sz="4" w:space="0" w:color="auto"/>
              <w:left w:val="nil"/>
              <w:bottom w:val="nil"/>
              <w:right w:val="nil"/>
            </w:tcBorders>
          </w:tcPr>
          <w:p w:rsidR="00A0745F" w:rsidRPr="00DD3423" w:rsidRDefault="00A0745F" w:rsidP="00AA4777">
            <w:pPr>
              <w:jc w:val="center"/>
              <w:rPr>
                <w:sz w:val="20"/>
                <w:szCs w:val="20"/>
              </w:rPr>
            </w:pPr>
            <w:r w:rsidRPr="00DD3423">
              <w:rPr>
                <w:sz w:val="20"/>
                <w:szCs w:val="20"/>
              </w:rPr>
              <w:t xml:space="preserve">Name of </w:t>
            </w:r>
            <w:r>
              <w:rPr>
                <w:sz w:val="20"/>
                <w:szCs w:val="20"/>
              </w:rPr>
              <w:t>B</w:t>
            </w:r>
            <w:r w:rsidRPr="00DD3423">
              <w:rPr>
                <w:sz w:val="20"/>
                <w:szCs w:val="20"/>
              </w:rPr>
              <w:t>idder (Position, Name and Surname of the Head)</w:t>
            </w:r>
            <w:r w:rsidRPr="00DD3423">
              <w:rPr>
                <w:sz w:val="20"/>
                <w:szCs w:val="20"/>
              </w:rPr>
              <w:br/>
            </w:r>
          </w:p>
        </w:tc>
        <w:tc>
          <w:tcPr>
            <w:tcW w:w="364" w:type="dxa"/>
            <w:tcBorders>
              <w:top w:val="nil"/>
              <w:left w:val="nil"/>
              <w:bottom w:val="nil"/>
              <w:right w:val="nil"/>
            </w:tcBorders>
          </w:tcPr>
          <w:p w:rsidR="00A0745F" w:rsidRPr="00DD3423" w:rsidRDefault="00A0745F" w:rsidP="00330F04">
            <w:pPr>
              <w:rPr>
                <w:sz w:val="20"/>
                <w:szCs w:val="20"/>
              </w:rPr>
            </w:pPr>
          </w:p>
        </w:tc>
        <w:tc>
          <w:tcPr>
            <w:tcW w:w="3090" w:type="dxa"/>
            <w:gridSpan w:val="2"/>
            <w:tcBorders>
              <w:top w:val="single" w:sz="4" w:space="0" w:color="auto"/>
              <w:left w:val="nil"/>
              <w:bottom w:val="nil"/>
              <w:right w:val="nil"/>
            </w:tcBorders>
          </w:tcPr>
          <w:p w:rsidR="00A0745F" w:rsidRPr="00DD3423" w:rsidRDefault="00A0745F" w:rsidP="00330F04">
            <w:pPr>
              <w:jc w:val="center"/>
              <w:rPr>
                <w:sz w:val="20"/>
                <w:szCs w:val="20"/>
              </w:rPr>
            </w:pPr>
            <w:r w:rsidRPr="00DD3423">
              <w:rPr>
                <w:sz w:val="20"/>
                <w:szCs w:val="20"/>
              </w:rPr>
              <w:t>Signature</w:t>
            </w:r>
          </w:p>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pPr>
              <w:jc w:val="right"/>
            </w:pPr>
            <w:r w:rsidRPr="00DD3423">
              <w:t>S</w:t>
            </w:r>
            <w:r>
              <w:t>tamp</w:t>
            </w:r>
          </w:p>
        </w:tc>
        <w:tc>
          <w:tcPr>
            <w:tcW w:w="1545" w:type="dxa"/>
            <w:tcBorders>
              <w:top w:val="nil"/>
              <w:left w:val="nil"/>
              <w:bottom w:val="nil"/>
              <w:right w:val="nil"/>
            </w:tcBorders>
          </w:tcPr>
          <w:p w:rsidR="00A0745F" w:rsidRPr="00DD3423" w:rsidRDefault="00A0745F" w:rsidP="00330F04"/>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364"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c>
          <w:tcPr>
            <w:tcW w:w="1545" w:type="dxa"/>
            <w:tcBorders>
              <w:top w:val="nil"/>
              <w:left w:val="nil"/>
              <w:bottom w:val="nil"/>
              <w:right w:val="nil"/>
            </w:tcBorders>
          </w:tcPr>
          <w:p w:rsidR="00A0745F" w:rsidRPr="00DD3423" w:rsidRDefault="00A0745F" w:rsidP="00330F04"/>
        </w:tc>
      </w:tr>
      <w:tr w:rsidR="00A0745F" w:rsidRPr="00DD3423" w:rsidTr="00330F04">
        <w:tc>
          <w:tcPr>
            <w:tcW w:w="1162" w:type="dxa"/>
            <w:tcBorders>
              <w:top w:val="nil"/>
              <w:left w:val="nil"/>
              <w:bottom w:val="nil"/>
              <w:right w:val="nil"/>
            </w:tcBorders>
            <w:vAlign w:val="center"/>
          </w:tcPr>
          <w:p w:rsidR="00A0745F" w:rsidRPr="00DD3423" w:rsidRDefault="00A0745F" w:rsidP="00330F04"/>
        </w:tc>
        <w:tc>
          <w:tcPr>
            <w:tcW w:w="1162" w:type="dxa"/>
            <w:tcBorders>
              <w:top w:val="nil"/>
              <w:left w:val="nil"/>
              <w:bottom w:val="nil"/>
              <w:right w:val="nil"/>
            </w:tcBorders>
            <w:vAlign w:val="center"/>
          </w:tcPr>
          <w:p w:rsidR="00A0745F" w:rsidRPr="00DD3423" w:rsidRDefault="00A0745F" w:rsidP="00330F04"/>
        </w:tc>
        <w:tc>
          <w:tcPr>
            <w:tcW w:w="1163" w:type="dxa"/>
            <w:tcBorders>
              <w:top w:val="nil"/>
              <w:left w:val="nil"/>
              <w:bottom w:val="nil"/>
              <w:right w:val="nil"/>
            </w:tcBorders>
            <w:vAlign w:val="center"/>
          </w:tcPr>
          <w:p w:rsidR="00A0745F" w:rsidRPr="00DD3423" w:rsidRDefault="00A0745F" w:rsidP="00330F04"/>
        </w:tc>
        <w:tc>
          <w:tcPr>
            <w:tcW w:w="1162" w:type="dxa"/>
            <w:tcBorders>
              <w:top w:val="nil"/>
              <w:left w:val="nil"/>
              <w:bottom w:val="nil"/>
              <w:right w:val="nil"/>
            </w:tcBorders>
            <w:vAlign w:val="center"/>
          </w:tcPr>
          <w:p w:rsidR="00A0745F" w:rsidRPr="00DD3423" w:rsidRDefault="00A0745F" w:rsidP="00330F04"/>
        </w:tc>
        <w:tc>
          <w:tcPr>
            <w:tcW w:w="3072" w:type="dxa"/>
            <w:gridSpan w:val="3"/>
            <w:tcBorders>
              <w:top w:val="nil"/>
              <w:left w:val="nil"/>
              <w:bottom w:val="single" w:sz="4" w:space="0" w:color="auto"/>
              <w:right w:val="nil"/>
            </w:tcBorders>
            <w:vAlign w:val="center"/>
          </w:tcPr>
          <w:p w:rsidR="00A0745F" w:rsidRPr="00DD3423" w:rsidRDefault="00A0745F" w:rsidP="00330F04"/>
        </w:tc>
        <w:tc>
          <w:tcPr>
            <w:tcW w:w="1545" w:type="dxa"/>
            <w:tcBorders>
              <w:top w:val="nil"/>
              <w:left w:val="nil"/>
              <w:bottom w:val="nil"/>
              <w:right w:val="nil"/>
            </w:tcBorders>
            <w:vAlign w:val="center"/>
          </w:tcPr>
          <w:p w:rsidR="00A0745F" w:rsidRPr="00DD3423" w:rsidRDefault="000B4398" w:rsidP="00A0745F">
            <w:r w:rsidRPr="005E795E">
              <w:t>20__</w:t>
            </w:r>
          </w:p>
        </w:tc>
      </w:tr>
      <w:tr w:rsidR="00A0745F" w:rsidRPr="00DD3423" w:rsidTr="00330F04">
        <w:tc>
          <w:tcPr>
            <w:tcW w:w="1162"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1163" w:type="dxa"/>
            <w:tcBorders>
              <w:top w:val="nil"/>
              <w:left w:val="nil"/>
              <w:bottom w:val="nil"/>
              <w:right w:val="nil"/>
            </w:tcBorders>
          </w:tcPr>
          <w:p w:rsidR="00A0745F" w:rsidRPr="00DD3423" w:rsidRDefault="00A0745F" w:rsidP="00330F04"/>
        </w:tc>
        <w:tc>
          <w:tcPr>
            <w:tcW w:w="1162" w:type="dxa"/>
            <w:tcBorders>
              <w:top w:val="nil"/>
              <w:left w:val="nil"/>
              <w:bottom w:val="nil"/>
              <w:right w:val="nil"/>
            </w:tcBorders>
          </w:tcPr>
          <w:p w:rsidR="00A0745F" w:rsidRPr="00DD3423" w:rsidRDefault="00A0745F" w:rsidP="00330F04"/>
        </w:tc>
        <w:tc>
          <w:tcPr>
            <w:tcW w:w="3072" w:type="dxa"/>
            <w:gridSpan w:val="3"/>
            <w:tcBorders>
              <w:top w:val="single" w:sz="4" w:space="0" w:color="auto"/>
              <w:left w:val="nil"/>
              <w:bottom w:val="nil"/>
              <w:right w:val="nil"/>
            </w:tcBorders>
          </w:tcPr>
          <w:p w:rsidR="00A0745F" w:rsidRPr="00DD3423" w:rsidRDefault="00A0745F" w:rsidP="00330F04">
            <w:pPr>
              <w:jc w:val="center"/>
            </w:pPr>
            <w:r w:rsidRPr="00DD3423">
              <w:rPr>
                <w:sz w:val="20"/>
                <w:szCs w:val="20"/>
              </w:rPr>
              <w:t>Date, Month</w:t>
            </w:r>
          </w:p>
        </w:tc>
        <w:tc>
          <w:tcPr>
            <w:tcW w:w="1545" w:type="dxa"/>
            <w:tcBorders>
              <w:top w:val="nil"/>
              <w:left w:val="nil"/>
              <w:bottom w:val="nil"/>
              <w:right w:val="nil"/>
            </w:tcBorders>
          </w:tcPr>
          <w:p w:rsidR="00A0745F" w:rsidRPr="00DD3423" w:rsidRDefault="00A0745F" w:rsidP="00330F04"/>
        </w:tc>
      </w:tr>
    </w:tbl>
    <w:p w:rsidR="00B97CC7" w:rsidRPr="00AA024C" w:rsidRDefault="00B97CC7" w:rsidP="00256B9A">
      <w:pPr>
        <w:pStyle w:val="BodyTextIndent"/>
        <w:ind w:left="708" w:firstLine="708"/>
        <w:jc w:val="right"/>
        <w:rPr>
          <w:rFonts w:ascii="Times New Roman" w:hAnsi="Times New Roman"/>
          <w:sz w:val="24"/>
          <w:szCs w:val="24"/>
          <w:lang w:val="en-GB"/>
        </w:rPr>
      </w:pPr>
    </w:p>
    <w:sectPr w:rsidR="00B97CC7" w:rsidRPr="00AA024C" w:rsidSect="00C4661F">
      <w:pgSz w:w="11906" w:h="16838" w:code="9"/>
      <w:pgMar w:top="1440" w:right="1016" w:bottom="1440" w:left="1260" w:header="567" w:footer="567"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2946"/>
    <w:multiLevelType w:val="hybridMultilevel"/>
    <w:tmpl w:val="8C063F8E"/>
    <w:lvl w:ilvl="0" w:tplc="A14A033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4527FAF"/>
    <w:multiLevelType w:val="hybridMultilevel"/>
    <w:tmpl w:val="70084C48"/>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06E37548"/>
    <w:multiLevelType w:val="hybridMultilevel"/>
    <w:tmpl w:val="D0DE93CC"/>
    <w:lvl w:ilvl="0" w:tplc="7202427A">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EAF7892"/>
    <w:multiLevelType w:val="hybridMultilevel"/>
    <w:tmpl w:val="B7EA2CA4"/>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18913545"/>
    <w:multiLevelType w:val="hybridMultilevel"/>
    <w:tmpl w:val="C26C1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E0EC6"/>
    <w:multiLevelType w:val="hybridMultilevel"/>
    <w:tmpl w:val="CFA6A124"/>
    <w:lvl w:ilvl="0" w:tplc="5FF00C0E">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2500726"/>
    <w:multiLevelType w:val="hybridMultilevel"/>
    <w:tmpl w:val="7730043E"/>
    <w:lvl w:ilvl="0" w:tplc="C26C3876">
      <w:start w:val="1"/>
      <w:numFmt w:val="lowerLetter"/>
      <w:lvlText w:val="%1."/>
      <w:lvlJc w:val="left"/>
      <w:pPr>
        <w:ind w:left="1128" w:hanging="360"/>
      </w:pPr>
      <w:rPr>
        <w:rFonts w:hint="default"/>
        <w:color w:val="auto"/>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nsid w:val="31140109"/>
    <w:multiLevelType w:val="hybridMultilevel"/>
    <w:tmpl w:val="B67C330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9699D"/>
    <w:multiLevelType w:val="hybridMultilevel"/>
    <w:tmpl w:val="7FD6D5BA"/>
    <w:lvl w:ilvl="0" w:tplc="EAC6335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C82CE9"/>
    <w:multiLevelType w:val="hybridMultilevel"/>
    <w:tmpl w:val="51E66270"/>
    <w:lvl w:ilvl="0" w:tplc="04190017">
      <w:start w:val="1"/>
      <w:numFmt w:val="lowerLetter"/>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10">
    <w:nsid w:val="424B66B4"/>
    <w:multiLevelType w:val="hybridMultilevel"/>
    <w:tmpl w:val="85FCB7DE"/>
    <w:lvl w:ilvl="0" w:tplc="041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nsid w:val="463E0391"/>
    <w:multiLevelType w:val="hybridMultilevel"/>
    <w:tmpl w:val="F402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476043"/>
    <w:multiLevelType w:val="hybridMultilevel"/>
    <w:tmpl w:val="6116E6F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4C5406DE"/>
    <w:multiLevelType w:val="hybridMultilevel"/>
    <w:tmpl w:val="245C3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3F7D54"/>
    <w:multiLevelType w:val="hybridMultilevel"/>
    <w:tmpl w:val="9A74E5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12"/>
  </w:num>
  <w:num w:numId="5">
    <w:abstractNumId w:val="14"/>
  </w:num>
  <w:num w:numId="6">
    <w:abstractNumId w:val="7"/>
  </w:num>
  <w:num w:numId="7">
    <w:abstractNumId w:val="1"/>
  </w:num>
  <w:num w:numId="8">
    <w:abstractNumId w:val="2"/>
  </w:num>
  <w:num w:numId="9">
    <w:abstractNumId w:val="3"/>
  </w:num>
  <w:num w:numId="10">
    <w:abstractNumId w:val="10"/>
  </w:num>
  <w:num w:numId="11">
    <w:abstractNumId w:val="6"/>
  </w:num>
  <w:num w:numId="12">
    <w:abstractNumId w:val="9"/>
  </w:num>
  <w:num w:numId="13">
    <w:abstractNumId w:val="4"/>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compat/>
  <w:rsids>
    <w:rsidRoot w:val="00FB1557"/>
    <w:rsid w:val="00001277"/>
    <w:rsid w:val="00010106"/>
    <w:rsid w:val="000176D7"/>
    <w:rsid w:val="000314EC"/>
    <w:rsid w:val="00037D28"/>
    <w:rsid w:val="00041D90"/>
    <w:rsid w:val="00044CB1"/>
    <w:rsid w:val="00050488"/>
    <w:rsid w:val="000619DE"/>
    <w:rsid w:val="00087FDA"/>
    <w:rsid w:val="00090DD3"/>
    <w:rsid w:val="00097E22"/>
    <w:rsid w:val="000A2336"/>
    <w:rsid w:val="000B4398"/>
    <w:rsid w:val="000C694C"/>
    <w:rsid w:val="000E0B7B"/>
    <w:rsid w:val="000E1066"/>
    <w:rsid w:val="000F5131"/>
    <w:rsid w:val="001058DA"/>
    <w:rsid w:val="001107EB"/>
    <w:rsid w:val="00114CE4"/>
    <w:rsid w:val="001224A8"/>
    <w:rsid w:val="001228B9"/>
    <w:rsid w:val="00124FD0"/>
    <w:rsid w:val="001365E7"/>
    <w:rsid w:val="0014030C"/>
    <w:rsid w:val="0014086A"/>
    <w:rsid w:val="00176615"/>
    <w:rsid w:val="00196B02"/>
    <w:rsid w:val="001A4E0C"/>
    <w:rsid w:val="001B2757"/>
    <w:rsid w:val="001D29B1"/>
    <w:rsid w:val="001D5320"/>
    <w:rsid w:val="001E3650"/>
    <w:rsid w:val="00207B75"/>
    <w:rsid w:val="00214E57"/>
    <w:rsid w:val="00245C41"/>
    <w:rsid w:val="002564FA"/>
    <w:rsid w:val="00256B9A"/>
    <w:rsid w:val="002807A9"/>
    <w:rsid w:val="00280C16"/>
    <w:rsid w:val="002968FA"/>
    <w:rsid w:val="002B7047"/>
    <w:rsid w:val="002C1DB3"/>
    <w:rsid w:val="002C4ABB"/>
    <w:rsid w:val="002D7695"/>
    <w:rsid w:val="002E3FE5"/>
    <w:rsid w:val="002E451D"/>
    <w:rsid w:val="002E6D46"/>
    <w:rsid w:val="002F7B62"/>
    <w:rsid w:val="00303122"/>
    <w:rsid w:val="0031051F"/>
    <w:rsid w:val="003231C0"/>
    <w:rsid w:val="00325E5A"/>
    <w:rsid w:val="003268B8"/>
    <w:rsid w:val="00341B16"/>
    <w:rsid w:val="00353C13"/>
    <w:rsid w:val="00364D0E"/>
    <w:rsid w:val="00385C87"/>
    <w:rsid w:val="00387047"/>
    <w:rsid w:val="00392EFA"/>
    <w:rsid w:val="00393769"/>
    <w:rsid w:val="003A4A57"/>
    <w:rsid w:val="003A66D9"/>
    <w:rsid w:val="003B1565"/>
    <w:rsid w:val="003C5875"/>
    <w:rsid w:val="003C7784"/>
    <w:rsid w:val="003F45F4"/>
    <w:rsid w:val="00414A7B"/>
    <w:rsid w:val="00432033"/>
    <w:rsid w:val="004427A6"/>
    <w:rsid w:val="004612D1"/>
    <w:rsid w:val="00466155"/>
    <w:rsid w:val="00477C40"/>
    <w:rsid w:val="004B34CD"/>
    <w:rsid w:val="004C7CF6"/>
    <w:rsid w:val="004F34B2"/>
    <w:rsid w:val="005075D5"/>
    <w:rsid w:val="00515007"/>
    <w:rsid w:val="00532D22"/>
    <w:rsid w:val="00543562"/>
    <w:rsid w:val="005446D0"/>
    <w:rsid w:val="005510FA"/>
    <w:rsid w:val="00557CE6"/>
    <w:rsid w:val="0056448D"/>
    <w:rsid w:val="005657EE"/>
    <w:rsid w:val="0056593A"/>
    <w:rsid w:val="005712E2"/>
    <w:rsid w:val="00573224"/>
    <w:rsid w:val="00597279"/>
    <w:rsid w:val="005D1946"/>
    <w:rsid w:val="005E7440"/>
    <w:rsid w:val="005E795E"/>
    <w:rsid w:val="005F0F0B"/>
    <w:rsid w:val="00617E67"/>
    <w:rsid w:val="006204F6"/>
    <w:rsid w:val="00621127"/>
    <w:rsid w:val="006373FD"/>
    <w:rsid w:val="00641964"/>
    <w:rsid w:val="00655B57"/>
    <w:rsid w:val="00667343"/>
    <w:rsid w:val="00671618"/>
    <w:rsid w:val="006836F1"/>
    <w:rsid w:val="00684CC3"/>
    <w:rsid w:val="00697C5E"/>
    <w:rsid w:val="006A0619"/>
    <w:rsid w:val="006A6D13"/>
    <w:rsid w:val="006A7D92"/>
    <w:rsid w:val="006C2149"/>
    <w:rsid w:val="006C60BE"/>
    <w:rsid w:val="006D6965"/>
    <w:rsid w:val="006F0DFA"/>
    <w:rsid w:val="00725BEC"/>
    <w:rsid w:val="007446DD"/>
    <w:rsid w:val="007935ED"/>
    <w:rsid w:val="007A5AC8"/>
    <w:rsid w:val="007B51A2"/>
    <w:rsid w:val="007D227B"/>
    <w:rsid w:val="007D3E45"/>
    <w:rsid w:val="007E7825"/>
    <w:rsid w:val="007F3736"/>
    <w:rsid w:val="007F54BF"/>
    <w:rsid w:val="008137A8"/>
    <w:rsid w:val="00823AED"/>
    <w:rsid w:val="008347DB"/>
    <w:rsid w:val="00835F2D"/>
    <w:rsid w:val="008505B3"/>
    <w:rsid w:val="00855379"/>
    <w:rsid w:val="008C3698"/>
    <w:rsid w:val="008D2025"/>
    <w:rsid w:val="008E520F"/>
    <w:rsid w:val="008F2694"/>
    <w:rsid w:val="008F7BF7"/>
    <w:rsid w:val="00900849"/>
    <w:rsid w:val="0093721F"/>
    <w:rsid w:val="009737AA"/>
    <w:rsid w:val="009779FB"/>
    <w:rsid w:val="009A52C4"/>
    <w:rsid w:val="009C51C9"/>
    <w:rsid w:val="009E30C5"/>
    <w:rsid w:val="009E4649"/>
    <w:rsid w:val="009F233E"/>
    <w:rsid w:val="009F308C"/>
    <w:rsid w:val="009F4426"/>
    <w:rsid w:val="009F6FF6"/>
    <w:rsid w:val="00A001AB"/>
    <w:rsid w:val="00A06F37"/>
    <w:rsid w:val="00A0745F"/>
    <w:rsid w:val="00A07DDB"/>
    <w:rsid w:val="00A15513"/>
    <w:rsid w:val="00A22066"/>
    <w:rsid w:val="00A231D3"/>
    <w:rsid w:val="00A41D71"/>
    <w:rsid w:val="00A71D2E"/>
    <w:rsid w:val="00A74C65"/>
    <w:rsid w:val="00A9194F"/>
    <w:rsid w:val="00A91BD4"/>
    <w:rsid w:val="00AA024C"/>
    <w:rsid w:val="00AA4777"/>
    <w:rsid w:val="00AB1B25"/>
    <w:rsid w:val="00AB52F0"/>
    <w:rsid w:val="00AB5353"/>
    <w:rsid w:val="00AE16D7"/>
    <w:rsid w:val="00AF09B1"/>
    <w:rsid w:val="00B167AD"/>
    <w:rsid w:val="00B3148A"/>
    <w:rsid w:val="00B3439A"/>
    <w:rsid w:val="00B6584D"/>
    <w:rsid w:val="00B80C13"/>
    <w:rsid w:val="00B93B69"/>
    <w:rsid w:val="00B97CC7"/>
    <w:rsid w:val="00BA34C7"/>
    <w:rsid w:val="00BB0DF0"/>
    <w:rsid w:val="00BB4757"/>
    <w:rsid w:val="00BE1A2D"/>
    <w:rsid w:val="00BE4BF1"/>
    <w:rsid w:val="00BF7ABA"/>
    <w:rsid w:val="00C17F42"/>
    <w:rsid w:val="00C23D77"/>
    <w:rsid w:val="00C2671D"/>
    <w:rsid w:val="00C46329"/>
    <w:rsid w:val="00C4661F"/>
    <w:rsid w:val="00C47EBC"/>
    <w:rsid w:val="00C52BDC"/>
    <w:rsid w:val="00C614EB"/>
    <w:rsid w:val="00C65DE2"/>
    <w:rsid w:val="00C856F6"/>
    <w:rsid w:val="00C87812"/>
    <w:rsid w:val="00C9004D"/>
    <w:rsid w:val="00C94FF8"/>
    <w:rsid w:val="00CA70FA"/>
    <w:rsid w:val="00CB0594"/>
    <w:rsid w:val="00CB0EFE"/>
    <w:rsid w:val="00CB258D"/>
    <w:rsid w:val="00CB305A"/>
    <w:rsid w:val="00CB5AEF"/>
    <w:rsid w:val="00CB7D66"/>
    <w:rsid w:val="00CD26D4"/>
    <w:rsid w:val="00CF3101"/>
    <w:rsid w:val="00D07317"/>
    <w:rsid w:val="00D203AC"/>
    <w:rsid w:val="00D34EE7"/>
    <w:rsid w:val="00D40FCD"/>
    <w:rsid w:val="00D55D84"/>
    <w:rsid w:val="00D61682"/>
    <w:rsid w:val="00D70095"/>
    <w:rsid w:val="00D70638"/>
    <w:rsid w:val="00D72B40"/>
    <w:rsid w:val="00D85AF7"/>
    <w:rsid w:val="00D9468F"/>
    <w:rsid w:val="00D94BA6"/>
    <w:rsid w:val="00DB2E80"/>
    <w:rsid w:val="00DC39DF"/>
    <w:rsid w:val="00DC4FFD"/>
    <w:rsid w:val="00DD1338"/>
    <w:rsid w:val="00DE704A"/>
    <w:rsid w:val="00DF6648"/>
    <w:rsid w:val="00DF7085"/>
    <w:rsid w:val="00DF7EEB"/>
    <w:rsid w:val="00E00F91"/>
    <w:rsid w:val="00E046C1"/>
    <w:rsid w:val="00E1465F"/>
    <w:rsid w:val="00E21A74"/>
    <w:rsid w:val="00E3490E"/>
    <w:rsid w:val="00E43F9D"/>
    <w:rsid w:val="00E5583B"/>
    <w:rsid w:val="00E6060E"/>
    <w:rsid w:val="00E610FE"/>
    <w:rsid w:val="00E6143A"/>
    <w:rsid w:val="00E67083"/>
    <w:rsid w:val="00E74D2C"/>
    <w:rsid w:val="00E74E3E"/>
    <w:rsid w:val="00E924F4"/>
    <w:rsid w:val="00E928D3"/>
    <w:rsid w:val="00EB622B"/>
    <w:rsid w:val="00ED0F37"/>
    <w:rsid w:val="00ED6CDD"/>
    <w:rsid w:val="00ED763B"/>
    <w:rsid w:val="00EE1032"/>
    <w:rsid w:val="00EF7423"/>
    <w:rsid w:val="00F11002"/>
    <w:rsid w:val="00F14556"/>
    <w:rsid w:val="00F360DF"/>
    <w:rsid w:val="00F477AB"/>
    <w:rsid w:val="00F529F3"/>
    <w:rsid w:val="00F52AF6"/>
    <w:rsid w:val="00F70B01"/>
    <w:rsid w:val="00F76651"/>
    <w:rsid w:val="00F76A9D"/>
    <w:rsid w:val="00F96D28"/>
    <w:rsid w:val="00F97B0D"/>
    <w:rsid w:val="00FA66B6"/>
    <w:rsid w:val="00FB1557"/>
    <w:rsid w:val="00FB7C97"/>
    <w:rsid w:val="00FC44B4"/>
    <w:rsid w:val="00FE6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6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FB1557"/>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FB155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1557"/>
    <w:rPr>
      <w:rFonts w:ascii="Arial" w:eastAsia="Times New Roman" w:hAnsi="Arial" w:cs="Arial"/>
      <w:b/>
      <w:bCs/>
      <w:kern w:val="32"/>
      <w:sz w:val="32"/>
      <w:szCs w:val="32"/>
      <w:lang w:val="en-US"/>
    </w:rPr>
  </w:style>
  <w:style w:type="character" w:customStyle="1" w:styleId="Heading6Char">
    <w:name w:val="Heading 6 Char"/>
    <w:basedOn w:val="DefaultParagraphFont"/>
    <w:link w:val="Heading6"/>
    <w:rsid w:val="00FB1557"/>
    <w:rPr>
      <w:rFonts w:ascii="Times New Roman" w:eastAsia="Times New Roman" w:hAnsi="Times New Roman" w:cs="Times New Roman"/>
      <w:b/>
      <w:bCs/>
      <w:lang w:val="en-US"/>
    </w:rPr>
  </w:style>
  <w:style w:type="paragraph" w:styleId="BodyTextIndent">
    <w:name w:val="Body Text Indent"/>
    <w:aliases w:val=" Char, Char Char Char Char"/>
    <w:basedOn w:val="Normal"/>
    <w:link w:val="BodyTextIndentChar"/>
    <w:rsid w:val="00FB155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B1557"/>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FB155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1557"/>
    <w:rPr>
      <w:rFonts w:ascii="Times Armenian" w:eastAsia="Times New Roman" w:hAnsi="Times Armenian" w:cs="Times New Roman"/>
      <w:sz w:val="20"/>
      <w:szCs w:val="20"/>
      <w:lang w:val="en-US"/>
    </w:rPr>
  </w:style>
  <w:style w:type="paragraph" w:styleId="BalloonText">
    <w:name w:val="Balloon Text"/>
    <w:basedOn w:val="Normal"/>
    <w:link w:val="BalloonTextChar"/>
    <w:rsid w:val="00FB1557"/>
    <w:rPr>
      <w:rFonts w:ascii="Tahoma" w:hAnsi="Tahoma"/>
      <w:sz w:val="16"/>
      <w:szCs w:val="16"/>
    </w:rPr>
  </w:style>
  <w:style w:type="character" w:customStyle="1" w:styleId="BalloonTextChar">
    <w:name w:val="Balloon Text Char"/>
    <w:basedOn w:val="DefaultParagraphFont"/>
    <w:link w:val="BalloonText"/>
    <w:rsid w:val="00FB1557"/>
    <w:rPr>
      <w:rFonts w:ascii="Tahoma" w:eastAsia="Times New Roman" w:hAnsi="Tahoma" w:cs="Times New Roman"/>
      <w:sz w:val="16"/>
      <w:szCs w:val="16"/>
    </w:rPr>
  </w:style>
  <w:style w:type="paragraph" w:styleId="ListParagraph">
    <w:name w:val="List Paragraph"/>
    <w:basedOn w:val="Normal"/>
    <w:uiPriority w:val="34"/>
    <w:qFormat/>
    <w:rsid w:val="00FB1557"/>
    <w:pPr>
      <w:spacing w:after="160" w:line="259" w:lineRule="auto"/>
      <w:ind w:left="720"/>
      <w:contextualSpacing/>
    </w:pPr>
    <w:rPr>
      <w:rFonts w:ascii="Calibri" w:eastAsia="Calibri" w:hAnsi="Calibri"/>
      <w:sz w:val="22"/>
      <w:szCs w:val="22"/>
      <w:lang w:val="hy-AM"/>
    </w:rPr>
  </w:style>
  <w:style w:type="paragraph" w:styleId="HTMLPreformatted">
    <w:name w:val="HTML Preformatted"/>
    <w:basedOn w:val="Normal"/>
    <w:link w:val="HTMLPreformattedChar"/>
    <w:uiPriority w:val="99"/>
    <w:unhideWhenUsed/>
    <w:rsid w:val="002F7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2F7B62"/>
    <w:rPr>
      <w:rFonts w:ascii="Courier New" w:eastAsia="Times New Roman" w:hAnsi="Courier New" w:cs="Courier New"/>
      <w:sz w:val="20"/>
      <w:szCs w:val="20"/>
      <w:lang w:eastAsia="ru-RU"/>
    </w:rPr>
  </w:style>
  <w:style w:type="character" w:styleId="FootnoteReference">
    <w:name w:val="footnote reference"/>
    <w:basedOn w:val="DefaultParagraphFont"/>
    <w:uiPriority w:val="99"/>
    <w:semiHidden/>
    <w:rsid w:val="002F7B62"/>
    <w:rPr>
      <w:position w:val="6"/>
      <w:sz w:val="16"/>
    </w:rPr>
  </w:style>
  <w:style w:type="paragraph" w:styleId="Revision">
    <w:name w:val="Revision"/>
    <w:hidden/>
    <w:uiPriority w:val="99"/>
    <w:semiHidden/>
    <w:rsid w:val="001E3650"/>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F3101"/>
    <w:rPr>
      <w:color w:val="0000FF" w:themeColor="hyperlink"/>
      <w:u w:val="single"/>
    </w:rPr>
  </w:style>
  <w:style w:type="table" w:styleId="TableGrid">
    <w:name w:val="Table Grid"/>
    <w:basedOn w:val="TableNormal"/>
    <w:uiPriority w:val="39"/>
    <w:rsid w:val="00A0745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90DD3"/>
    <w:rPr>
      <w:b/>
      <w:bCs/>
    </w:rPr>
  </w:style>
  <w:style w:type="character" w:styleId="CommentReference">
    <w:name w:val="annotation reference"/>
    <w:basedOn w:val="DefaultParagraphFont"/>
    <w:uiPriority w:val="99"/>
    <w:semiHidden/>
    <w:unhideWhenUsed/>
    <w:rsid w:val="00E74E3E"/>
    <w:rPr>
      <w:sz w:val="16"/>
      <w:szCs w:val="16"/>
    </w:rPr>
  </w:style>
  <w:style w:type="paragraph" w:styleId="CommentText">
    <w:name w:val="annotation text"/>
    <w:basedOn w:val="Normal"/>
    <w:link w:val="CommentTextChar"/>
    <w:uiPriority w:val="99"/>
    <w:semiHidden/>
    <w:unhideWhenUsed/>
    <w:rsid w:val="00E74E3E"/>
    <w:rPr>
      <w:sz w:val="20"/>
      <w:szCs w:val="20"/>
    </w:rPr>
  </w:style>
  <w:style w:type="character" w:customStyle="1" w:styleId="CommentTextChar">
    <w:name w:val="Comment Text Char"/>
    <w:basedOn w:val="DefaultParagraphFont"/>
    <w:link w:val="CommentText"/>
    <w:uiPriority w:val="99"/>
    <w:semiHidden/>
    <w:rsid w:val="00E74E3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4E3E"/>
    <w:rPr>
      <w:b/>
      <w:bCs/>
    </w:rPr>
  </w:style>
  <w:style w:type="character" w:customStyle="1" w:styleId="CommentSubjectChar">
    <w:name w:val="Comment Subject Char"/>
    <w:basedOn w:val="CommentTextChar"/>
    <w:link w:val="CommentSubject"/>
    <w:uiPriority w:val="99"/>
    <w:semiHidden/>
    <w:rsid w:val="00E74E3E"/>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divs>
    <w:div w:id="211307253">
      <w:bodyDiv w:val="1"/>
      <w:marLeft w:val="0"/>
      <w:marRight w:val="0"/>
      <w:marTop w:val="0"/>
      <w:marBottom w:val="0"/>
      <w:divBdr>
        <w:top w:val="none" w:sz="0" w:space="0" w:color="auto"/>
        <w:left w:val="none" w:sz="0" w:space="0" w:color="auto"/>
        <w:bottom w:val="none" w:sz="0" w:space="0" w:color="auto"/>
        <w:right w:val="none" w:sz="0" w:space="0" w:color="auto"/>
      </w:divBdr>
    </w:div>
    <w:div w:id="266280045">
      <w:bodyDiv w:val="1"/>
      <w:marLeft w:val="0"/>
      <w:marRight w:val="0"/>
      <w:marTop w:val="0"/>
      <w:marBottom w:val="0"/>
      <w:divBdr>
        <w:top w:val="none" w:sz="0" w:space="0" w:color="auto"/>
        <w:left w:val="none" w:sz="0" w:space="0" w:color="auto"/>
        <w:bottom w:val="none" w:sz="0" w:space="0" w:color="auto"/>
        <w:right w:val="none" w:sz="0" w:space="0" w:color="auto"/>
      </w:divBdr>
    </w:div>
    <w:div w:id="350299421">
      <w:bodyDiv w:val="1"/>
      <w:marLeft w:val="0"/>
      <w:marRight w:val="0"/>
      <w:marTop w:val="0"/>
      <w:marBottom w:val="0"/>
      <w:divBdr>
        <w:top w:val="none" w:sz="0" w:space="0" w:color="auto"/>
        <w:left w:val="none" w:sz="0" w:space="0" w:color="auto"/>
        <w:bottom w:val="none" w:sz="0" w:space="0" w:color="auto"/>
        <w:right w:val="none" w:sz="0" w:space="0" w:color="auto"/>
      </w:divBdr>
    </w:div>
    <w:div w:id="435297728">
      <w:bodyDiv w:val="1"/>
      <w:marLeft w:val="0"/>
      <w:marRight w:val="0"/>
      <w:marTop w:val="0"/>
      <w:marBottom w:val="0"/>
      <w:divBdr>
        <w:top w:val="none" w:sz="0" w:space="0" w:color="auto"/>
        <w:left w:val="none" w:sz="0" w:space="0" w:color="auto"/>
        <w:bottom w:val="none" w:sz="0" w:space="0" w:color="auto"/>
        <w:right w:val="none" w:sz="0" w:space="0" w:color="auto"/>
      </w:divBdr>
    </w:div>
    <w:div w:id="480848032">
      <w:bodyDiv w:val="1"/>
      <w:marLeft w:val="0"/>
      <w:marRight w:val="0"/>
      <w:marTop w:val="0"/>
      <w:marBottom w:val="0"/>
      <w:divBdr>
        <w:top w:val="none" w:sz="0" w:space="0" w:color="auto"/>
        <w:left w:val="none" w:sz="0" w:space="0" w:color="auto"/>
        <w:bottom w:val="none" w:sz="0" w:space="0" w:color="auto"/>
        <w:right w:val="none" w:sz="0" w:space="0" w:color="auto"/>
      </w:divBdr>
    </w:div>
    <w:div w:id="526715911">
      <w:bodyDiv w:val="1"/>
      <w:marLeft w:val="0"/>
      <w:marRight w:val="0"/>
      <w:marTop w:val="0"/>
      <w:marBottom w:val="0"/>
      <w:divBdr>
        <w:top w:val="none" w:sz="0" w:space="0" w:color="auto"/>
        <w:left w:val="none" w:sz="0" w:space="0" w:color="auto"/>
        <w:bottom w:val="none" w:sz="0" w:space="0" w:color="auto"/>
        <w:right w:val="none" w:sz="0" w:space="0" w:color="auto"/>
      </w:divBdr>
    </w:div>
    <w:div w:id="568224243">
      <w:bodyDiv w:val="1"/>
      <w:marLeft w:val="0"/>
      <w:marRight w:val="0"/>
      <w:marTop w:val="0"/>
      <w:marBottom w:val="0"/>
      <w:divBdr>
        <w:top w:val="none" w:sz="0" w:space="0" w:color="auto"/>
        <w:left w:val="none" w:sz="0" w:space="0" w:color="auto"/>
        <w:bottom w:val="none" w:sz="0" w:space="0" w:color="auto"/>
        <w:right w:val="none" w:sz="0" w:space="0" w:color="auto"/>
      </w:divBdr>
    </w:div>
    <w:div w:id="578443980">
      <w:bodyDiv w:val="1"/>
      <w:marLeft w:val="0"/>
      <w:marRight w:val="0"/>
      <w:marTop w:val="0"/>
      <w:marBottom w:val="0"/>
      <w:divBdr>
        <w:top w:val="none" w:sz="0" w:space="0" w:color="auto"/>
        <w:left w:val="none" w:sz="0" w:space="0" w:color="auto"/>
        <w:bottom w:val="none" w:sz="0" w:space="0" w:color="auto"/>
        <w:right w:val="none" w:sz="0" w:space="0" w:color="auto"/>
      </w:divBdr>
    </w:div>
    <w:div w:id="697393994">
      <w:bodyDiv w:val="1"/>
      <w:marLeft w:val="0"/>
      <w:marRight w:val="0"/>
      <w:marTop w:val="0"/>
      <w:marBottom w:val="0"/>
      <w:divBdr>
        <w:top w:val="none" w:sz="0" w:space="0" w:color="auto"/>
        <w:left w:val="none" w:sz="0" w:space="0" w:color="auto"/>
        <w:bottom w:val="none" w:sz="0" w:space="0" w:color="auto"/>
        <w:right w:val="none" w:sz="0" w:space="0" w:color="auto"/>
      </w:divBdr>
    </w:div>
    <w:div w:id="722362586">
      <w:bodyDiv w:val="1"/>
      <w:marLeft w:val="0"/>
      <w:marRight w:val="0"/>
      <w:marTop w:val="0"/>
      <w:marBottom w:val="0"/>
      <w:divBdr>
        <w:top w:val="none" w:sz="0" w:space="0" w:color="auto"/>
        <w:left w:val="none" w:sz="0" w:space="0" w:color="auto"/>
        <w:bottom w:val="none" w:sz="0" w:space="0" w:color="auto"/>
        <w:right w:val="none" w:sz="0" w:space="0" w:color="auto"/>
      </w:divBdr>
    </w:div>
    <w:div w:id="836382132">
      <w:bodyDiv w:val="1"/>
      <w:marLeft w:val="0"/>
      <w:marRight w:val="0"/>
      <w:marTop w:val="0"/>
      <w:marBottom w:val="0"/>
      <w:divBdr>
        <w:top w:val="none" w:sz="0" w:space="0" w:color="auto"/>
        <w:left w:val="none" w:sz="0" w:space="0" w:color="auto"/>
        <w:bottom w:val="none" w:sz="0" w:space="0" w:color="auto"/>
        <w:right w:val="none" w:sz="0" w:space="0" w:color="auto"/>
      </w:divBdr>
    </w:div>
    <w:div w:id="878317623">
      <w:bodyDiv w:val="1"/>
      <w:marLeft w:val="0"/>
      <w:marRight w:val="0"/>
      <w:marTop w:val="0"/>
      <w:marBottom w:val="0"/>
      <w:divBdr>
        <w:top w:val="none" w:sz="0" w:space="0" w:color="auto"/>
        <w:left w:val="none" w:sz="0" w:space="0" w:color="auto"/>
        <w:bottom w:val="none" w:sz="0" w:space="0" w:color="auto"/>
        <w:right w:val="none" w:sz="0" w:space="0" w:color="auto"/>
      </w:divBdr>
    </w:div>
    <w:div w:id="924192508">
      <w:bodyDiv w:val="1"/>
      <w:marLeft w:val="0"/>
      <w:marRight w:val="0"/>
      <w:marTop w:val="0"/>
      <w:marBottom w:val="0"/>
      <w:divBdr>
        <w:top w:val="none" w:sz="0" w:space="0" w:color="auto"/>
        <w:left w:val="none" w:sz="0" w:space="0" w:color="auto"/>
        <w:bottom w:val="none" w:sz="0" w:space="0" w:color="auto"/>
        <w:right w:val="none" w:sz="0" w:space="0" w:color="auto"/>
      </w:divBdr>
    </w:div>
    <w:div w:id="955868204">
      <w:bodyDiv w:val="1"/>
      <w:marLeft w:val="0"/>
      <w:marRight w:val="0"/>
      <w:marTop w:val="0"/>
      <w:marBottom w:val="0"/>
      <w:divBdr>
        <w:top w:val="none" w:sz="0" w:space="0" w:color="auto"/>
        <w:left w:val="none" w:sz="0" w:space="0" w:color="auto"/>
        <w:bottom w:val="none" w:sz="0" w:space="0" w:color="auto"/>
        <w:right w:val="none" w:sz="0" w:space="0" w:color="auto"/>
      </w:divBdr>
    </w:div>
    <w:div w:id="974524699">
      <w:bodyDiv w:val="1"/>
      <w:marLeft w:val="0"/>
      <w:marRight w:val="0"/>
      <w:marTop w:val="0"/>
      <w:marBottom w:val="0"/>
      <w:divBdr>
        <w:top w:val="none" w:sz="0" w:space="0" w:color="auto"/>
        <w:left w:val="none" w:sz="0" w:space="0" w:color="auto"/>
        <w:bottom w:val="none" w:sz="0" w:space="0" w:color="auto"/>
        <w:right w:val="none" w:sz="0" w:space="0" w:color="auto"/>
      </w:divBdr>
    </w:div>
    <w:div w:id="1153989188">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87403283">
      <w:bodyDiv w:val="1"/>
      <w:marLeft w:val="0"/>
      <w:marRight w:val="0"/>
      <w:marTop w:val="0"/>
      <w:marBottom w:val="0"/>
      <w:divBdr>
        <w:top w:val="none" w:sz="0" w:space="0" w:color="auto"/>
        <w:left w:val="none" w:sz="0" w:space="0" w:color="auto"/>
        <w:bottom w:val="none" w:sz="0" w:space="0" w:color="auto"/>
        <w:right w:val="none" w:sz="0" w:space="0" w:color="auto"/>
      </w:divBdr>
    </w:div>
    <w:div w:id="1211259416">
      <w:bodyDiv w:val="1"/>
      <w:marLeft w:val="0"/>
      <w:marRight w:val="0"/>
      <w:marTop w:val="0"/>
      <w:marBottom w:val="0"/>
      <w:divBdr>
        <w:top w:val="none" w:sz="0" w:space="0" w:color="auto"/>
        <w:left w:val="none" w:sz="0" w:space="0" w:color="auto"/>
        <w:bottom w:val="none" w:sz="0" w:space="0" w:color="auto"/>
        <w:right w:val="none" w:sz="0" w:space="0" w:color="auto"/>
      </w:divBdr>
    </w:div>
    <w:div w:id="1266305050">
      <w:bodyDiv w:val="1"/>
      <w:marLeft w:val="0"/>
      <w:marRight w:val="0"/>
      <w:marTop w:val="0"/>
      <w:marBottom w:val="0"/>
      <w:divBdr>
        <w:top w:val="none" w:sz="0" w:space="0" w:color="auto"/>
        <w:left w:val="none" w:sz="0" w:space="0" w:color="auto"/>
        <w:bottom w:val="none" w:sz="0" w:space="0" w:color="auto"/>
        <w:right w:val="none" w:sz="0" w:space="0" w:color="auto"/>
      </w:divBdr>
    </w:div>
    <w:div w:id="1283420186">
      <w:bodyDiv w:val="1"/>
      <w:marLeft w:val="0"/>
      <w:marRight w:val="0"/>
      <w:marTop w:val="0"/>
      <w:marBottom w:val="0"/>
      <w:divBdr>
        <w:top w:val="none" w:sz="0" w:space="0" w:color="auto"/>
        <w:left w:val="none" w:sz="0" w:space="0" w:color="auto"/>
        <w:bottom w:val="none" w:sz="0" w:space="0" w:color="auto"/>
        <w:right w:val="none" w:sz="0" w:space="0" w:color="auto"/>
      </w:divBdr>
    </w:div>
    <w:div w:id="1312447250">
      <w:bodyDiv w:val="1"/>
      <w:marLeft w:val="0"/>
      <w:marRight w:val="0"/>
      <w:marTop w:val="0"/>
      <w:marBottom w:val="0"/>
      <w:divBdr>
        <w:top w:val="none" w:sz="0" w:space="0" w:color="auto"/>
        <w:left w:val="none" w:sz="0" w:space="0" w:color="auto"/>
        <w:bottom w:val="none" w:sz="0" w:space="0" w:color="auto"/>
        <w:right w:val="none" w:sz="0" w:space="0" w:color="auto"/>
      </w:divBdr>
    </w:div>
    <w:div w:id="1345983913">
      <w:bodyDiv w:val="1"/>
      <w:marLeft w:val="0"/>
      <w:marRight w:val="0"/>
      <w:marTop w:val="0"/>
      <w:marBottom w:val="0"/>
      <w:divBdr>
        <w:top w:val="none" w:sz="0" w:space="0" w:color="auto"/>
        <w:left w:val="none" w:sz="0" w:space="0" w:color="auto"/>
        <w:bottom w:val="none" w:sz="0" w:space="0" w:color="auto"/>
        <w:right w:val="none" w:sz="0" w:space="0" w:color="auto"/>
      </w:divBdr>
    </w:div>
    <w:div w:id="1350182183">
      <w:bodyDiv w:val="1"/>
      <w:marLeft w:val="0"/>
      <w:marRight w:val="0"/>
      <w:marTop w:val="0"/>
      <w:marBottom w:val="0"/>
      <w:divBdr>
        <w:top w:val="none" w:sz="0" w:space="0" w:color="auto"/>
        <w:left w:val="none" w:sz="0" w:space="0" w:color="auto"/>
        <w:bottom w:val="none" w:sz="0" w:space="0" w:color="auto"/>
        <w:right w:val="none" w:sz="0" w:space="0" w:color="auto"/>
      </w:divBdr>
    </w:div>
    <w:div w:id="1468469905">
      <w:bodyDiv w:val="1"/>
      <w:marLeft w:val="0"/>
      <w:marRight w:val="0"/>
      <w:marTop w:val="0"/>
      <w:marBottom w:val="0"/>
      <w:divBdr>
        <w:top w:val="none" w:sz="0" w:space="0" w:color="auto"/>
        <w:left w:val="none" w:sz="0" w:space="0" w:color="auto"/>
        <w:bottom w:val="none" w:sz="0" w:space="0" w:color="auto"/>
        <w:right w:val="none" w:sz="0" w:space="0" w:color="auto"/>
      </w:divBdr>
    </w:div>
    <w:div w:id="1473936494">
      <w:bodyDiv w:val="1"/>
      <w:marLeft w:val="0"/>
      <w:marRight w:val="0"/>
      <w:marTop w:val="0"/>
      <w:marBottom w:val="0"/>
      <w:divBdr>
        <w:top w:val="none" w:sz="0" w:space="0" w:color="auto"/>
        <w:left w:val="none" w:sz="0" w:space="0" w:color="auto"/>
        <w:bottom w:val="none" w:sz="0" w:space="0" w:color="auto"/>
        <w:right w:val="none" w:sz="0" w:space="0" w:color="auto"/>
      </w:divBdr>
    </w:div>
    <w:div w:id="1549342849">
      <w:bodyDiv w:val="1"/>
      <w:marLeft w:val="0"/>
      <w:marRight w:val="0"/>
      <w:marTop w:val="0"/>
      <w:marBottom w:val="0"/>
      <w:divBdr>
        <w:top w:val="none" w:sz="0" w:space="0" w:color="auto"/>
        <w:left w:val="none" w:sz="0" w:space="0" w:color="auto"/>
        <w:bottom w:val="none" w:sz="0" w:space="0" w:color="auto"/>
        <w:right w:val="none" w:sz="0" w:space="0" w:color="auto"/>
      </w:divBdr>
    </w:div>
    <w:div w:id="1564099947">
      <w:bodyDiv w:val="1"/>
      <w:marLeft w:val="0"/>
      <w:marRight w:val="0"/>
      <w:marTop w:val="0"/>
      <w:marBottom w:val="0"/>
      <w:divBdr>
        <w:top w:val="none" w:sz="0" w:space="0" w:color="auto"/>
        <w:left w:val="none" w:sz="0" w:space="0" w:color="auto"/>
        <w:bottom w:val="none" w:sz="0" w:space="0" w:color="auto"/>
        <w:right w:val="none" w:sz="0" w:space="0" w:color="auto"/>
      </w:divBdr>
    </w:div>
    <w:div w:id="1650984848">
      <w:bodyDiv w:val="1"/>
      <w:marLeft w:val="0"/>
      <w:marRight w:val="0"/>
      <w:marTop w:val="0"/>
      <w:marBottom w:val="0"/>
      <w:divBdr>
        <w:top w:val="none" w:sz="0" w:space="0" w:color="auto"/>
        <w:left w:val="none" w:sz="0" w:space="0" w:color="auto"/>
        <w:bottom w:val="none" w:sz="0" w:space="0" w:color="auto"/>
        <w:right w:val="none" w:sz="0" w:space="0" w:color="auto"/>
      </w:divBdr>
    </w:div>
    <w:div w:id="1671374624">
      <w:bodyDiv w:val="1"/>
      <w:marLeft w:val="0"/>
      <w:marRight w:val="0"/>
      <w:marTop w:val="0"/>
      <w:marBottom w:val="0"/>
      <w:divBdr>
        <w:top w:val="none" w:sz="0" w:space="0" w:color="auto"/>
        <w:left w:val="none" w:sz="0" w:space="0" w:color="auto"/>
        <w:bottom w:val="none" w:sz="0" w:space="0" w:color="auto"/>
        <w:right w:val="none" w:sz="0" w:space="0" w:color="auto"/>
      </w:divBdr>
    </w:div>
    <w:div w:id="1774666805">
      <w:bodyDiv w:val="1"/>
      <w:marLeft w:val="0"/>
      <w:marRight w:val="0"/>
      <w:marTop w:val="0"/>
      <w:marBottom w:val="0"/>
      <w:divBdr>
        <w:top w:val="none" w:sz="0" w:space="0" w:color="auto"/>
        <w:left w:val="none" w:sz="0" w:space="0" w:color="auto"/>
        <w:bottom w:val="none" w:sz="0" w:space="0" w:color="auto"/>
        <w:right w:val="none" w:sz="0" w:space="0" w:color="auto"/>
      </w:divBdr>
    </w:div>
    <w:div w:id="1829130948">
      <w:bodyDiv w:val="1"/>
      <w:marLeft w:val="0"/>
      <w:marRight w:val="0"/>
      <w:marTop w:val="0"/>
      <w:marBottom w:val="0"/>
      <w:divBdr>
        <w:top w:val="none" w:sz="0" w:space="0" w:color="auto"/>
        <w:left w:val="none" w:sz="0" w:space="0" w:color="auto"/>
        <w:bottom w:val="none" w:sz="0" w:space="0" w:color="auto"/>
        <w:right w:val="none" w:sz="0" w:space="0" w:color="auto"/>
      </w:divBdr>
    </w:div>
    <w:div w:id="1966546834">
      <w:bodyDiv w:val="1"/>
      <w:marLeft w:val="0"/>
      <w:marRight w:val="0"/>
      <w:marTop w:val="0"/>
      <w:marBottom w:val="0"/>
      <w:divBdr>
        <w:top w:val="none" w:sz="0" w:space="0" w:color="auto"/>
        <w:left w:val="none" w:sz="0" w:space="0" w:color="auto"/>
        <w:bottom w:val="none" w:sz="0" w:space="0" w:color="auto"/>
        <w:right w:val="none" w:sz="0" w:space="0" w:color="auto"/>
      </w:divBdr>
    </w:div>
    <w:div w:id="1987972771">
      <w:bodyDiv w:val="1"/>
      <w:marLeft w:val="0"/>
      <w:marRight w:val="0"/>
      <w:marTop w:val="0"/>
      <w:marBottom w:val="0"/>
      <w:divBdr>
        <w:top w:val="none" w:sz="0" w:space="0" w:color="auto"/>
        <w:left w:val="none" w:sz="0" w:space="0" w:color="auto"/>
        <w:bottom w:val="none" w:sz="0" w:space="0" w:color="auto"/>
        <w:right w:val="none" w:sz="0" w:space="0" w:color="auto"/>
      </w:divBdr>
    </w:div>
    <w:div w:id="1990939913">
      <w:bodyDiv w:val="1"/>
      <w:marLeft w:val="0"/>
      <w:marRight w:val="0"/>
      <w:marTop w:val="0"/>
      <w:marBottom w:val="0"/>
      <w:divBdr>
        <w:top w:val="none" w:sz="0" w:space="0" w:color="auto"/>
        <w:left w:val="none" w:sz="0" w:space="0" w:color="auto"/>
        <w:bottom w:val="none" w:sz="0" w:space="0" w:color="auto"/>
        <w:right w:val="none" w:sz="0" w:space="0" w:color="auto"/>
      </w:divBdr>
    </w:div>
    <w:div w:id="2029139895">
      <w:bodyDiv w:val="1"/>
      <w:marLeft w:val="0"/>
      <w:marRight w:val="0"/>
      <w:marTop w:val="0"/>
      <w:marBottom w:val="0"/>
      <w:divBdr>
        <w:top w:val="none" w:sz="0" w:space="0" w:color="auto"/>
        <w:left w:val="none" w:sz="0" w:space="0" w:color="auto"/>
        <w:bottom w:val="none" w:sz="0" w:space="0" w:color="auto"/>
        <w:right w:val="none" w:sz="0" w:space="0" w:color="auto"/>
      </w:divBdr>
    </w:div>
    <w:div w:id="2087799955">
      <w:bodyDiv w:val="1"/>
      <w:marLeft w:val="0"/>
      <w:marRight w:val="0"/>
      <w:marTop w:val="0"/>
      <w:marBottom w:val="0"/>
      <w:divBdr>
        <w:top w:val="none" w:sz="0" w:space="0" w:color="auto"/>
        <w:left w:val="none" w:sz="0" w:space="0" w:color="auto"/>
        <w:bottom w:val="none" w:sz="0" w:space="0" w:color="auto"/>
        <w:right w:val="none" w:sz="0" w:space="0" w:color="auto"/>
      </w:divBdr>
    </w:div>
    <w:div w:id="2133590715">
      <w:bodyDiv w:val="1"/>
      <w:marLeft w:val="0"/>
      <w:marRight w:val="0"/>
      <w:marTop w:val="0"/>
      <w:marBottom w:val="0"/>
      <w:divBdr>
        <w:top w:val="none" w:sz="0" w:space="0" w:color="auto"/>
        <w:left w:val="none" w:sz="0" w:space="0" w:color="auto"/>
        <w:bottom w:val="none" w:sz="0" w:space="0" w:color="auto"/>
        <w:right w:val="none" w:sz="0" w:space="0" w:color="auto"/>
      </w:divBdr>
    </w:div>
    <w:div w:id="213713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yik.mnatcakanyan@gmail.com" TargetMode="External"/><Relationship Id="rId3" Type="http://schemas.openxmlformats.org/officeDocument/2006/relationships/styles" Target="styles.xml"/><Relationship Id="rId7" Type="http://schemas.openxmlformats.org/officeDocument/2006/relationships/hyperlink" Target="http://www.scws.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C58271E-E692-4B6C-8131-32799623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3095</Words>
  <Characters>17643</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FICHTNER MANAGEMENT CONSULTING AG</Company>
  <LinksUpToDate>false</LinksUpToDate>
  <CharactersWithSpaces>20697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53</cp:revision>
  <dcterms:created xsi:type="dcterms:W3CDTF">2015-11-16T09:21:00Z</dcterms:created>
  <dcterms:modified xsi:type="dcterms:W3CDTF">2015-12-15T08:25:00Z</dcterms:modified>
</cp:coreProperties>
</file>