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0F6832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hy-AM"/>
        </w:rPr>
        <w:t>ԱՄԴ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F6832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0F6832">
        <w:rPr>
          <w:rFonts w:ascii="GHEA Grapalat" w:hAnsi="GHEA Grapalat" w:cs="Times Armenian"/>
          <w:i/>
          <w:sz w:val="22"/>
          <w:lang w:val="hy-AM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0F6832">
        <w:rPr>
          <w:rFonts w:ascii="GHEA Grapalat" w:hAnsi="GHEA Grapalat" w:cs="Times Armenian"/>
          <w:i/>
          <w:sz w:val="22"/>
          <w:lang w:val="hy-AM"/>
        </w:rPr>
        <w:t>12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0F6832">
        <w:rPr>
          <w:rFonts w:ascii="GHEA Grapalat" w:hAnsi="GHEA Grapalat" w:cs="Times Armenian"/>
          <w:i/>
          <w:sz w:val="20"/>
          <w:szCs w:val="20"/>
          <w:lang w:val="hy-AM"/>
        </w:rPr>
        <w:t xml:space="preserve">ԴԻՄԻՏՐՈՎԻ </w:t>
      </w:r>
      <w:r w:rsidR="0086220F" w:rsidRPr="0086220F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Times Armenian"/>
          <w:i/>
          <w:sz w:val="20"/>
          <w:szCs w:val="2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lastRenderedPageBreak/>
        <w:t>&lt;&lt;</w:t>
      </w:r>
      <w:r w:rsidR="000F6832" w:rsidRPr="000F6832">
        <w:rPr>
          <w:rFonts w:ascii="GHEA Grapalat" w:hAnsi="GHEA Grapalat" w:cs="Times Armenian"/>
          <w:i/>
          <w:sz w:val="20"/>
          <w:szCs w:val="20"/>
          <w:lang w:val="hy-AM"/>
        </w:rPr>
        <w:t xml:space="preserve"> </w:t>
      </w:r>
      <w:r w:rsidR="000F6832">
        <w:rPr>
          <w:rFonts w:ascii="GHEA Grapalat" w:hAnsi="GHEA Grapalat" w:cs="Times Armenian"/>
          <w:i/>
          <w:sz w:val="20"/>
          <w:szCs w:val="20"/>
          <w:lang w:val="hy-AM"/>
        </w:rPr>
        <w:t>ԴԻՄԻՏՐՈՎԻ</w:t>
      </w:r>
      <w:r w:rsidRPr="00354E11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86220F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0F6832" w:rsidRPr="000F6832">
        <w:rPr>
          <w:rFonts w:ascii="GHEA Grapalat" w:hAnsi="GHEA Grapalat" w:cs="Times Armenian"/>
          <w:i w:val="0"/>
          <w:lang w:val="hy-AM"/>
        </w:rPr>
        <w:t xml:space="preserve"> </w:t>
      </w:r>
      <w:r w:rsidR="000F6832">
        <w:rPr>
          <w:rFonts w:ascii="GHEA Grapalat" w:hAnsi="GHEA Grapalat" w:cs="Times Armenian"/>
          <w:i w:val="0"/>
          <w:lang w:val="hy-AM"/>
        </w:rPr>
        <w:t>ԴԻՄԻՏՐՈՎԻ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751116" w:rsidRPr="00424E33">
        <w:rPr>
          <w:rFonts w:ascii="GHEA Grapalat" w:hAnsi="GHEA Grapalat" w:cs="Times Armenian"/>
          <w:i w:val="0"/>
          <w:lang w:val="af-ZA"/>
        </w:rPr>
        <w:t>&gt;</w:t>
      </w:r>
      <w:r w:rsidR="000F6832" w:rsidRPr="000F6832">
        <w:rPr>
          <w:rFonts w:ascii="GHEA Grapalat" w:hAnsi="GHEA Grapalat" w:cs="Times Armenian"/>
          <w:i w:val="0"/>
          <w:sz w:val="22"/>
          <w:lang w:val="hy-AM"/>
        </w:rPr>
        <w:t xml:space="preserve"> </w:t>
      </w:r>
      <w:r w:rsidR="000F6832">
        <w:rPr>
          <w:rFonts w:ascii="GHEA Grapalat" w:hAnsi="GHEA Grapalat" w:cs="Times Armenian"/>
          <w:i w:val="0"/>
          <w:sz w:val="22"/>
          <w:lang w:val="hy-AM"/>
        </w:rPr>
        <w:t>ԱՄԴ</w:t>
      </w:r>
      <w:r w:rsidR="000F6832">
        <w:rPr>
          <w:rFonts w:ascii="GHEA Grapalat" w:hAnsi="GHEA Grapalat" w:cs="Times Armenian"/>
          <w:sz w:val="22"/>
          <w:lang w:val="ru-RU"/>
        </w:rPr>
        <w:t>ԱԱՊԿ</w:t>
      </w:r>
      <w:r w:rsidR="000F6832" w:rsidRPr="005358F5">
        <w:rPr>
          <w:rFonts w:ascii="GHEA Grapalat" w:hAnsi="GHEA Grapalat" w:cs="Times Armenian"/>
          <w:sz w:val="22"/>
          <w:lang w:val="af-ZA"/>
        </w:rPr>
        <w:t>-</w:t>
      </w:r>
      <w:r w:rsidR="000F6832">
        <w:rPr>
          <w:rFonts w:ascii="GHEA Grapalat" w:hAnsi="GHEA Grapalat" w:cs="Sylfaen"/>
          <w:sz w:val="22"/>
        </w:rPr>
        <w:t>ՇՀԱՊՁԲ</w:t>
      </w:r>
      <w:r w:rsidR="000F6832" w:rsidRPr="005358F5">
        <w:rPr>
          <w:rFonts w:ascii="GHEA Grapalat" w:hAnsi="GHEA Grapalat" w:cs="Sylfaen"/>
          <w:sz w:val="22"/>
          <w:lang w:val="af-ZA"/>
        </w:rPr>
        <w:t>-</w:t>
      </w:r>
      <w:r w:rsidR="000F6832" w:rsidRPr="00E64CEF">
        <w:rPr>
          <w:rFonts w:ascii="GHEA Grapalat" w:hAnsi="GHEA Grapalat" w:cs="Sylfaen"/>
          <w:sz w:val="22"/>
          <w:lang w:val="af-ZA"/>
        </w:rPr>
        <w:t>16/1</w:t>
      </w:r>
      <w:r w:rsidR="000F6832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F6832">
        <w:rPr>
          <w:rFonts w:ascii="GHEA Grapalat" w:hAnsi="GHEA Grapalat"/>
          <w:i w:val="0"/>
          <w:lang w:val="hy-AM"/>
        </w:rPr>
        <w:t xml:space="preserve"> Արարատի մարզ  Գ. Դիմիտրով հասցեով</w:t>
      </w:r>
      <w:r w:rsidR="00424E33" w:rsidRPr="001E50C3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3E7CB4">
        <w:rPr>
          <w:rFonts w:ascii="GHEA Grapalat" w:hAnsi="GHEA Grapalat"/>
          <w:i w:val="0"/>
          <w:lang w:val="af-ZA"/>
        </w:rPr>
        <w:t>1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5C5200">
        <w:rPr>
          <w:rFonts w:ascii="GHEA Grapalat" w:hAnsi="GHEA Grapalat"/>
          <w:i w:val="0"/>
          <w:lang w:val="ru-RU"/>
        </w:rPr>
        <w:t>հունվար</w:t>
      </w:r>
      <w:r w:rsidR="00D254A1">
        <w:rPr>
          <w:rFonts w:ascii="GHEA Grapalat" w:hAnsi="GHEA Grapalat"/>
          <w:i w:val="0"/>
          <w:lang w:val="ru-RU"/>
        </w:rPr>
        <w:t>ի</w:t>
      </w:r>
      <w:r w:rsidR="00853277" w:rsidRPr="00853277">
        <w:rPr>
          <w:rFonts w:ascii="GHEA Grapalat" w:hAnsi="GHEA Grapalat"/>
          <w:i w:val="0"/>
          <w:lang w:val="af-ZA"/>
        </w:rPr>
        <w:t xml:space="preserve"> </w:t>
      </w:r>
      <w:r w:rsidR="00CA1A5E">
        <w:rPr>
          <w:rFonts w:ascii="GHEA Grapalat" w:hAnsi="GHEA Grapalat"/>
          <w:i w:val="0"/>
          <w:lang w:val="af-ZA"/>
        </w:rPr>
        <w:t>2</w:t>
      </w:r>
      <w:r w:rsidR="00354E11" w:rsidRPr="00354E11">
        <w:rPr>
          <w:rFonts w:ascii="GHEA Grapalat" w:hAnsi="GHEA Grapalat"/>
          <w:i w:val="0"/>
          <w:lang w:val="af-ZA"/>
        </w:rPr>
        <w:t>2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0F6832">
        <w:rPr>
          <w:rFonts w:ascii="GHEA Grapalat" w:hAnsi="GHEA Grapalat"/>
          <w:i w:val="0"/>
          <w:lang w:val="hy-AM"/>
        </w:rPr>
        <w:t>1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0F6832" w:rsidRPr="005358F5">
        <w:rPr>
          <w:rFonts w:ascii="GHEA Grapalat" w:hAnsi="GHEA Grapalat" w:cs="Sylfaen"/>
        </w:rPr>
        <w:t xml:space="preserve"> </w:t>
      </w:r>
      <w:r w:rsidR="000F6832">
        <w:rPr>
          <w:rFonts w:ascii="GHEA Grapalat" w:hAnsi="GHEA Grapalat" w:cs="Times Armenian"/>
          <w:i/>
          <w:lang w:val="hy-AM"/>
        </w:rPr>
        <w:t>ԴԻՄԻՏՐՈՎԻ</w:t>
      </w:r>
      <w:r w:rsidR="000F6832" w:rsidRPr="0086220F">
        <w:rPr>
          <w:rFonts w:ascii="GHEA Grapalat" w:hAnsi="GHEA Grapalat" w:cs="Times Armenian"/>
        </w:rPr>
        <w:t xml:space="preserve"> </w:t>
      </w:r>
      <w:r w:rsidR="000F6832">
        <w:rPr>
          <w:rFonts w:ascii="GHEA Grapalat" w:hAnsi="GHEA Grapalat" w:cs="Times Armenian"/>
          <w:lang w:val="ru-RU"/>
        </w:rPr>
        <w:t>ԱԱՊԿ</w:t>
      </w:r>
      <w:r w:rsidR="000F6832" w:rsidRPr="005358F5">
        <w:rPr>
          <w:rFonts w:ascii="GHEA Grapalat" w:hAnsi="GHEA Grapalat" w:cs="Sylfaen"/>
        </w:rPr>
        <w:t xml:space="preserve"> 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="000F6832" w:rsidRPr="003A0FC1">
        <w:rPr>
          <w:rFonts w:ascii="GHEA Grapalat" w:hAnsi="GHEA Grapalat"/>
        </w:rPr>
        <w:t>dimitroviaapk</w:t>
      </w:r>
      <w:r w:rsidR="00853277" w:rsidRPr="00853277">
        <w:rPr>
          <w:rFonts w:ascii="GHEA Grapalat" w:hAnsi="GHEA Grapalat"/>
        </w:rPr>
        <w:t>@mail.ru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0F6832">
        <w:rPr>
          <w:rFonts w:ascii="GHEA Grapalat" w:hAnsi="GHEA Grapalat"/>
        </w:rPr>
        <w:t>077-592877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813235">
        <w:rPr>
          <w:rFonts w:ascii="GHEA Grapalat" w:hAnsi="GHEA Grapalat" w:cs="Times Armenian"/>
          <w:b/>
          <w:i w:val="0"/>
          <w:lang w:val="hy-AM"/>
        </w:rPr>
        <w:t xml:space="preserve">ԴԻՄԻՏՐՈՎԻ 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B925A6">
        <w:rPr>
          <w:rFonts w:ascii="GHEA Grapalat" w:hAnsi="GHEA Grapalat"/>
          <w:b/>
          <w:lang w:val="af-ZA"/>
        </w:rPr>
        <w:t>76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CA1A5E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B925A6" w:rsidRDefault="00A25417" w:rsidP="00D22409">
            <w:pPr>
              <w:pStyle w:val="23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 w:rsidR="00B925A6">
              <w:rPr>
                <w:rFonts w:ascii="GHEA Grapalat" w:hAnsi="GHEA Grapalat"/>
                <w:lang w:val="en-US"/>
              </w:rPr>
              <w:t>76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lastRenderedPageBreak/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3A0FC1">
        <w:rPr>
          <w:rFonts w:ascii="Sylfaen" w:hAnsi="Sylfaen" w:cs="Sylfaen"/>
          <w:lang w:val="hy-AM"/>
        </w:rPr>
        <w:t>1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3A0FC1">
        <w:rPr>
          <w:rFonts w:ascii="Sylfaen" w:hAnsi="Sylfaen" w:cs="Sylfaen"/>
          <w:lang w:val="hy-AM"/>
        </w:rPr>
        <w:t>Դիմիտրով հասցեով</w:t>
      </w:r>
      <w:r w:rsidRPr="00555F65">
        <w:rPr>
          <w:rFonts w:ascii="GHEA Grapalat" w:hAnsi="GHEA Grapalat" w:cs="Sylfaen"/>
          <w:lang w:val="hy-AM"/>
        </w:rPr>
        <w:t>։  Ընթացակարգի հայտերը ստանում և հայտերի գրանցամատյանում գրանցում է հանձնաժ</w:t>
      </w:r>
      <w:r w:rsidR="00F02112">
        <w:rPr>
          <w:rFonts w:ascii="GHEA Grapalat" w:hAnsi="GHEA Grapalat" w:cs="Sylfaen"/>
          <w:lang w:val="hy-AM"/>
        </w:rPr>
        <w:t xml:space="preserve">ողովի քարտուղար </w:t>
      </w:r>
      <w:r w:rsidR="00444163">
        <w:rPr>
          <w:rFonts w:ascii="Sylfaen" w:hAnsi="Sylfaen" w:cs="Sylfaen"/>
          <w:lang w:val="hy-AM"/>
        </w:rPr>
        <w:t>Մ. Աբրահամյան</w:t>
      </w:r>
      <w:r w:rsidRPr="00555F65">
        <w:rPr>
          <w:rFonts w:ascii="GHEA Grapalat" w:hAnsi="GHEA Grapalat" w:cs="Sylfaen"/>
          <w:lang w:val="hy-AM"/>
        </w:rPr>
        <w:t>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CA1A5E">
        <w:rPr>
          <w:rFonts w:ascii="GHEA Grapalat" w:hAnsi="GHEA Grapalat" w:cs="Sylfaen"/>
          <w:sz w:val="20"/>
          <w:szCs w:val="20"/>
          <w:lang w:val="af-ZA"/>
        </w:rPr>
        <w:t>1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CA1A5E">
        <w:rPr>
          <w:rFonts w:ascii="Sylfaen" w:hAnsi="Sylfaen" w:cs="Sylfaen"/>
          <w:sz w:val="20"/>
          <w:szCs w:val="20"/>
        </w:rPr>
        <w:t>Դիմիտրով</w:t>
      </w:r>
      <w:r w:rsidR="00CA1A5E" w:rsidRPr="00FA7F0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lastRenderedPageBreak/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/>
          <w:b/>
          <w:lang w:val="es-ES"/>
        </w:rPr>
        <w:t>&lt;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lang w:val="hy-AM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A1A5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A1A5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A1A5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CA1A5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B925A6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925A6" w:rsidRPr="00555F65">
        <w:rPr>
          <w:rFonts w:ascii="GHEA Grapalat" w:hAnsi="GHEA Grapalat" w:cs="Sylfaen"/>
          <w:b/>
          <w:lang w:val="es-ES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>
        <w:rPr>
          <w:rFonts w:ascii="GHEA Grapalat" w:hAnsi="GHEA Grapalat" w:cs="Times Armenian"/>
          <w:i/>
          <w:sz w:val="22"/>
          <w:lang w:val="ru-RU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>
        <w:rPr>
          <w:rFonts w:ascii="GHEA Grapalat" w:hAnsi="GHEA Grapalat" w:cs="Sylfaen"/>
          <w:i/>
          <w:sz w:val="22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B925A6" w:rsidRPr="00F02112">
        <w:rPr>
          <w:rFonts w:ascii="GHEA Grapalat" w:hAnsi="GHEA Grapalat"/>
          <w:b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B925A6" w:rsidRPr="00B925A6">
        <w:rPr>
          <w:rFonts w:ascii="GHEA Grapalat" w:hAnsi="GHEA Grapalat" w:cs="Times Armenian"/>
          <w:sz w:val="22"/>
          <w:lang w:val="hy-AM"/>
        </w:rPr>
        <w:t xml:space="preserve"> </w:t>
      </w:r>
      <w:r w:rsidR="00B925A6">
        <w:rPr>
          <w:rFonts w:ascii="GHEA Grapalat" w:hAnsi="GHEA Grapalat" w:cs="Times Armenian"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B925A6" w:rsidRPr="00280453">
        <w:rPr>
          <w:rFonts w:ascii="GHEA Grapalat" w:hAnsi="GHEA Grapalat" w:cs="Sylfaen"/>
          <w:i w:val="0"/>
          <w:lang w:val="es-ES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F02112" w:rsidRPr="00F02112">
        <w:rPr>
          <w:rFonts w:ascii="GHEA Grapalat" w:hAnsi="GHEA Grapalat"/>
          <w:b/>
          <w:lang w:val="hy-AM"/>
        </w:rPr>
        <w:t xml:space="preserve"> </w:t>
      </w:r>
      <w:r w:rsidR="00B925A6">
        <w:rPr>
          <w:rFonts w:ascii="GHEA Grapalat" w:hAnsi="GHEA Grapalat" w:cs="Times Armenian"/>
          <w:i/>
          <w:sz w:val="22"/>
          <w:lang w:val="hy-AM"/>
        </w:rPr>
        <w:t>ԱՄԴ</w:t>
      </w:r>
      <w:r w:rsidR="00B925A6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B925A6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925A6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>-</w:t>
      </w:r>
      <w:r w:rsidR="00B925A6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925A6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77408E">
        <w:rPr>
          <w:rFonts w:ascii="GHEA Grapalat" w:hAnsi="GHEA Grapalat" w:cs="Sylfaen"/>
          <w:sz w:val="20"/>
          <w:lang w:val="hy-AM"/>
        </w:rPr>
        <w:t>Դիմիտրով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77408E">
        <w:rPr>
          <w:rFonts w:ascii="GHEA Grapalat" w:hAnsi="GHEA Grapalat" w:cs="Sylfaen"/>
          <w:sz w:val="20"/>
          <w:lang w:val="hy-AM"/>
        </w:rPr>
        <w:t>6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77408E">
        <w:rPr>
          <w:rFonts w:ascii="GHEA Grapalat" w:hAnsi="GHEA Grapalat"/>
          <w:sz w:val="20"/>
          <w:lang w:val="hy-AM"/>
        </w:rPr>
        <w:t>Դիմիտրովի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77408E">
        <w:rPr>
          <w:rFonts w:ascii="GHEA Grapalat" w:hAnsi="GHEA Grapalat"/>
          <w:sz w:val="20"/>
          <w:lang w:val="hy-AM"/>
        </w:rPr>
        <w:t>Ա.Հարությունյանի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lastRenderedPageBreak/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lastRenderedPageBreak/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lastRenderedPageBreak/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B925A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Times Armenian"/>
          <w:i/>
          <w:sz w:val="22"/>
          <w:lang w:val="hy-AM"/>
        </w:rPr>
        <w:t>ԱՄԴ</w:t>
      </w:r>
      <w:r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E64CEF">
        <w:rPr>
          <w:rFonts w:ascii="GHEA Grapalat" w:hAnsi="GHEA Grapalat" w:cs="Sylfaen"/>
          <w:i/>
          <w:sz w:val="22"/>
          <w:lang w:val="af-ZA"/>
        </w:rPr>
        <w:t>16/1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C62C86"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3A0FC1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tbl>
      <w:tblPr>
        <w:tblW w:w="8940" w:type="dxa"/>
        <w:tblInd w:w="93" w:type="dxa"/>
        <w:tblLook w:val="04A0"/>
      </w:tblPr>
      <w:tblGrid>
        <w:gridCol w:w="3520"/>
        <w:gridCol w:w="4620"/>
        <w:gridCol w:w="966"/>
      </w:tblGrid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DEB" w:rsidRPr="003A0FC1" w:rsidRDefault="004F6DEB" w:rsidP="0077408E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A0FC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101DA5">
              <w:rPr>
                <w:rFonts w:ascii="GHEA Grapalat" w:hAnsi="GHEA Grapalat" w:cs="Arial"/>
                <w:sz w:val="20"/>
                <w:szCs w:val="20"/>
              </w:rPr>
              <w:t>ՀԱՎԵԼՎԱԾ  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4F6DEB" w:rsidRPr="00101DA5" w:rsidTr="0077408E">
        <w:trPr>
          <w:trHeight w:val="323"/>
        </w:trPr>
        <w:tc>
          <w:tcPr>
            <w:tcW w:w="8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քանակ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77408E" w:rsidRDefault="0077408E" w:rsidP="0077408E">
            <w:pPr>
              <w:pStyle w:val="aff0"/>
              <w:numPr>
                <w:ilvl w:val="0"/>
                <w:numId w:val="10"/>
              </w:num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4F6DEB" w:rsidRPr="0077408E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Բեռլիպրիլ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9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4F6DEB" w:rsidRPr="00101DA5" w:rsidTr="0077408E">
        <w:trPr>
          <w:trHeight w:val="6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Ամլոդիպին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2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130</w:t>
            </w:r>
          </w:p>
        </w:tc>
      </w:tr>
      <w:tr w:rsidR="004F6DEB" w:rsidRPr="00101DA5" w:rsidTr="0077408E">
        <w:trPr>
          <w:trHeight w:val="78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կոնկոր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4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կալցի  D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D0B2A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>500</w:t>
            </w:r>
            <w:r w:rsidR="007D0B2A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</w:tr>
      <w:tr w:rsidR="004F6DEB" w:rsidRPr="00101DA5" w:rsidTr="0077408E">
        <w:trPr>
          <w:trHeight w:val="6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5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  <w:szCs w:val="20"/>
              </w:rPr>
              <w:t>պրեդուկտալ MR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684667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684667">
              <w:rPr>
                <w:rFonts w:ascii="Courier New" w:hAnsi="Courier New" w:cs="Courier New"/>
                <w:sz w:val="20"/>
                <w:szCs w:val="20"/>
              </w:rPr>
              <w:t>35</w:t>
            </w:r>
            <w:r w:rsidR="00684667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570</w:t>
            </w:r>
          </w:p>
        </w:tc>
      </w:tr>
      <w:tr w:rsidR="004F6DEB" w:rsidRPr="00101DA5" w:rsidTr="0077408E">
        <w:trPr>
          <w:trHeight w:val="58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նոլիպրել ֆորտե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D0B2A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D0B2A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4F6DEB" w:rsidRPr="00101DA5" w:rsidTr="0077408E">
        <w:trPr>
          <w:trHeight w:val="61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   7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կավինտոն ֆորտե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684667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68466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684667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420</w:t>
            </w:r>
          </w:p>
        </w:tc>
      </w:tr>
      <w:tr w:rsidR="004F6DEB" w:rsidRPr="00101DA5" w:rsidTr="0077408E">
        <w:trPr>
          <w:trHeight w:val="9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բետացիդ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քսուկ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684667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0.5%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4F6DEB" w:rsidRPr="00101DA5" w:rsidTr="0077408E">
        <w:trPr>
          <w:trHeight w:val="58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9  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ֆերում-լեկ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684667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684667">
              <w:rPr>
                <w:rFonts w:ascii="Courier New" w:hAnsi="Courier New" w:cs="Courier New"/>
                <w:sz w:val="20"/>
                <w:szCs w:val="20"/>
              </w:rPr>
              <w:t>50</w:t>
            </w:r>
            <w:r w:rsidR="00684667">
              <w:rPr>
                <w:rFonts w:ascii="Sylfaen" w:hAnsi="Sylfaen" w:cs="Courier New"/>
                <w:sz w:val="20"/>
                <w:szCs w:val="20"/>
              </w:rPr>
              <w:t>մգ/5մլ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10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էնալապրիլ 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D0B2A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7D0B2A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270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11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ֆուրոսեմիդ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D0B2A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40մ</w:t>
            </w:r>
            <w:r w:rsidR="007D0B2A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130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12 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Սալբուտամոլ աէրոզոլ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ցողացիր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684667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684667">
              <w:rPr>
                <w:rFonts w:ascii="Courier New" w:hAnsi="Courier New" w:cs="Courier New"/>
                <w:sz w:val="20"/>
                <w:szCs w:val="20"/>
              </w:rPr>
              <w:t>0.1</w:t>
            </w:r>
            <w:r w:rsidR="00684667">
              <w:rPr>
                <w:rFonts w:ascii="Sylfaen" w:hAnsi="Sylfaen" w:cs="Courier New"/>
                <w:sz w:val="20"/>
                <w:szCs w:val="20"/>
              </w:rPr>
              <w:t>գ/10մլ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13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կարվեդիլոլ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>6.25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lastRenderedPageBreak/>
              <w:t xml:space="preserve">                                                       14   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մետոտրեքսատ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15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լոզապ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16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դիկլոբերլ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3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17  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գլյուկովանս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5/500մգ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1380</w:t>
            </w:r>
          </w:p>
        </w:tc>
      </w:tr>
      <w:tr w:rsidR="004F6DEB" w:rsidRPr="00101DA5" w:rsidTr="0077408E">
        <w:trPr>
          <w:trHeight w:val="49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Մետիպրեդ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19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կարդիոմագնիլ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75մգ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580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20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կարդիոմագնիլ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21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ակվադետրիմ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6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D0B2A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 xml:space="preserve">500 </w:t>
            </w:r>
            <w:r w:rsidR="007D0B2A">
              <w:rPr>
                <w:rFonts w:ascii="Sylfaen" w:hAnsi="Sylfaen" w:cs="Courier New"/>
                <w:sz w:val="20"/>
                <w:szCs w:val="20"/>
              </w:rPr>
              <w:t>միավոր/կաթ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հերբիոն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150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8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4F6DEB" w:rsidRPr="00101DA5" w:rsidTr="0077408E">
        <w:trPr>
          <w:trHeight w:val="25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նազիվին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ցողացիր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7D0B2A" w:rsidP="007A177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0.025</w:t>
            </w:r>
            <w:r w:rsidR="004F6DEB" w:rsidRPr="00101DA5">
              <w:rPr>
                <w:rFonts w:ascii="GHEA Grapalat" w:hAnsi="GHEA Grapalat" w:cs="Arial"/>
                <w:sz w:val="20"/>
                <w:szCs w:val="20"/>
              </w:rPr>
              <w:t>%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24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նուրոֆեն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մգ/5մլ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25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ամոքսիկլավ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156մգ</w:t>
            </w:r>
            <w:r w:rsidR="007A177D">
              <w:rPr>
                <w:rFonts w:ascii="GHEA Grapalat" w:hAnsi="GHEA Grapalat" w:cs="Arial"/>
                <w:sz w:val="20"/>
                <w:szCs w:val="20"/>
              </w:rPr>
              <w:t>/5</w:t>
            </w:r>
            <w:r w:rsidR="007A177D">
              <w:rPr>
                <w:rFonts w:ascii="Sylfaen" w:hAnsi="Sylfaen" w:cs="Arial"/>
                <w:sz w:val="20"/>
                <w:szCs w:val="20"/>
              </w:rPr>
              <w:t>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26 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պրոսպան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27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էնալապրիլ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2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4F6DEB" w:rsidRPr="00101DA5" w:rsidTr="0077408E">
        <w:trPr>
          <w:trHeight w:val="270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վերոշպիրոն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19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29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վերոշպիրոն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</w:t>
            </w:r>
            <w:r w:rsidR="007A177D">
              <w:rPr>
                <w:rFonts w:ascii="Sylfaen" w:hAnsi="Sylfaen" w:cs="Arial"/>
                <w:sz w:val="20"/>
                <w:szCs w:val="20"/>
              </w:rPr>
              <w:t>պատիճ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77408E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30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ասպիրին կարդիո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31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կոնկոր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2.5մգ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դիկլոբերլ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լուծույթ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7A177D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75</w:t>
            </w:r>
            <w:r w:rsidR="004F6DEB" w:rsidRPr="00101DA5">
              <w:rPr>
                <w:rFonts w:ascii="GHEA Grapalat" w:hAnsi="GHEA Grapalat" w:cs="Arial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վիտամին  B կոմպլեքս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լուծույթ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34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ռենիտեկ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35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տալլիտոն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D0B2A">
              <w:rPr>
                <w:rFonts w:ascii="Courier New" w:hAnsi="Courier New" w:cs="Courier New"/>
                <w:sz w:val="20"/>
                <w:szCs w:val="20"/>
              </w:rPr>
              <w:t>6.25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75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36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պանանգին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140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մգ+158մգ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37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արիֆոն ռետարդ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1.5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5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վիտրում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165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39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ֆուրագին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40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զենտել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2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400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41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վիտրոմ մանկ.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դեպակին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E96248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96248"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  <w:r w:rsidR="00E96248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64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4F6DEB" w:rsidRPr="00101DA5" w:rsidTr="0077408E">
        <w:trPr>
          <w:trHeight w:val="25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lastRenderedPageBreak/>
              <w:t xml:space="preserve">43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դիլթիազեմ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դեղապատիճ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44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կավիտոն ֆորտե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45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խարտիլ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դեղահատ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46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խեմոմիցին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5/200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47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էրեսպալ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150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Օմեպրազոլ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դեղապատիճ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8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49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էգիլոկ ռեդարդ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դեղապատիճ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94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50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մելոֆլամ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8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E96248" w:rsidRDefault="00F97B2B" w:rsidP="0077408E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51  </w:t>
            </w:r>
            <w:r w:rsidR="00E9624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կարվեդիլո</w:t>
            </w:r>
            <w:r w:rsidR="00E96248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</w:rPr>
              <w:t>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96248">
              <w:rPr>
                <w:rFonts w:ascii="Courier New" w:hAnsi="Courier New" w:cs="Courier New"/>
                <w:sz w:val="20"/>
                <w:szCs w:val="20"/>
              </w:rPr>
              <w:t>12.5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lastRenderedPageBreak/>
              <w:t xml:space="preserve">52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կարդիկետ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53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ատարաքս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54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լուցետամ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800մգ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61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55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պրեստարիում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56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թեոտարդ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դեղապատիճ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200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57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կարդիոլոպին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58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կորաքսան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59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կարդիկետ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60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ամբրոքսոլ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մգ/5մլ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5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61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ազիթրոմիցին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դեղապատիճ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Գնման առարկայի դեղաչափը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250մգ%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գեդելիքս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100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պիկովիտ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64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ազիմակ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5/200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65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նոլիպրել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2.5մգ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66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ատորվաստատին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E96248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96248"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  <w:r w:rsidR="00E96248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67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նոոտրոպիլ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800մգ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68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ամոքսակլավ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օշարակ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312/5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69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պոլիժեն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70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ցեֆեկոն 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մոմիկ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71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էկվատոր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E96248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9624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E96248">
              <w:rPr>
                <w:rFonts w:ascii="Sylfaen" w:hAnsi="Sylfaen" w:cs="Courier New"/>
                <w:sz w:val="20"/>
                <w:szCs w:val="20"/>
              </w:rPr>
              <w:t>+5 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49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72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մետոպրոլոլ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4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50մգ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2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73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դիգոքսին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0.25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</w:tr>
      <w:tr w:rsidR="004F6DEB" w:rsidRPr="00101DA5" w:rsidTr="00E96248">
        <w:trPr>
          <w:trHeight w:val="574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74   </w:t>
            </w:r>
            <w:r w:rsidR="00E96248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</w:rPr>
              <w:t>ս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="00E96248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</w:rPr>
              <w:t>ա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դեքսին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7A177D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4F6DEB"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4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75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պրեստանս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7A177D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10+</w:t>
            </w:r>
            <w:r w:rsidR="004F6DEB" w:rsidRPr="00101DA5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55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300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F97B2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76    </w:t>
            </w:r>
            <w:r w:rsidR="004F6DEB" w:rsidRPr="00101DA5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միլդրոնատ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դեղաձևը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դեղահատ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դեղաչափը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7A177D" w:rsidRDefault="004F6DEB" w:rsidP="0077408E">
            <w:pPr>
              <w:rPr>
                <w:rFonts w:ascii="Sylfaen" w:hAnsi="Sylfaen" w:cs="Arial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A177D">
              <w:rPr>
                <w:rFonts w:ascii="Courier New" w:hAnsi="Courier New" w:cs="Courier New"/>
                <w:sz w:val="20"/>
                <w:szCs w:val="20"/>
              </w:rPr>
              <w:t>500</w:t>
            </w:r>
            <w:r w:rsidR="007A177D">
              <w:rPr>
                <w:rFonts w:ascii="Sylfaen" w:hAnsi="Sylfaen" w:cs="Courier New"/>
                <w:sz w:val="20"/>
                <w:szCs w:val="20"/>
              </w:rPr>
              <w:t>մգ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55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 xml:space="preserve">Գնման առարկայի պիտանիության ժամկետները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Հանձման պահին պիտանելիության ժամկետի առկայություն (տես ծանոթությունը)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101DA5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</w:tr>
      <w:tr w:rsidR="004F6DEB" w:rsidRPr="00101DA5" w:rsidTr="0077408E">
        <w:trPr>
          <w:trHeight w:val="285"/>
        </w:trPr>
        <w:tc>
          <w:tcPr>
            <w:tcW w:w="8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4F6DEB" w:rsidRPr="00101DA5" w:rsidRDefault="004F6DEB" w:rsidP="0077408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101DA5">
              <w:rPr>
                <w:rFonts w:ascii="Courier New" w:hAnsi="Courier New" w:cs="Courier New"/>
                <w:color w:val="FF0000"/>
                <w:sz w:val="20"/>
                <w:szCs w:val="20"/>
              </w:rPr>
              <w:t> </w:t>
            </w:r>
          </w:p>
        </w:tc>
      </w:tr>
      <w:tr w:rsidR="004F6DEB" w:rsidRPr="00101DA5" w:rsidTr="0077408E">
        <w:trPr>
          <w:trHeight w:val="33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4F6DEB" w:rsidRPr="00101DA5" w:rsidTr="0077408E">
        <w:trPr>
          <w:trHeight w:val="2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B" w:rsidRPr="00101DA5" w:rsidRDefault="004F6DEB" w:rsidP="0077408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D2042E" w:rsidRPr="003347C6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3347C6">
        <w:rPr>
          <w:rFonts w:ascii="GHEA Grapalat" w:hAnsi="GHEA Grapalat" w:cs="Sylfaen"/>
          <w:sz w:val="16"/>
          <w:szCs w:val="16"/>
          <w:lang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Arial"/>
          <w:sz w:val="16"/>
          <w:szCs w:val="16"/>
          <w:lang w:eastAsia="ru-RU"/>
        </w:rPr>
        <w:t>N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) </w:t>
      </w:r>
      <w:r w:rsidRPr="003347C6">
        <w:rPr>
          <w:rFonts w:ascii="GHEA Grapalat" w:hAnsi="GHEA Grapalat" w:cs="Arial"/>
          <w:sz w:val="16"/>
          <w:szCs w:val="16"/>
          <w:lang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`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>:</w:t>
      </w:r>
    </w:p>
    <w:p w:rsidR="00664516" w:rsidRPr="00664516" w:rsidRDefault="00D2042E" w:rsidP="00664516">
      <w:pPr>
        <w:rPr>
          <w:rFonts w:ascii="GHEA Grapalat" w:hAnsi="GHEA Grapalat" w:cs="Arial"/>
          <w:b/>
          <w:sz w:val="16"/>
          <w:szCs w:val="16"/>
        </w:rPr>
      </w:pP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     </w:t>
      </w:r>
      <w:r w:rsidRPr="00F02112">
        <w:rPr>
          <w:rFonts w:ascii="GHEA Grapalat" w:hAnsi="GHEA Grapalat" w:cs="Arial"/>
          <w:b/>
          <w:sz w:val="16"/>
          <w:szCs w:val="16"/>
          <w:lang w:eastAsia="ru-RU"/>
        </w:rPr>
        <w:t>*</w:t>
      </w:r>
      <w:r w:rsidR="00664516" w:rsidRPr="00664516">
        <w:rPr>
          <w:rFonts w:ascii="GHEA Grapalat" w:hAnsi="GHEA Grapalat" w:cs="Arial"/>
          <w:b/>
          <w:sz w:val="20"/>
          <w:szCs w:val="20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 պայմաններ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1.  Մատակարարը պետք է գտն</w:t>
      </w:r>
      <w:r w:rsidR="0077408E">
        <w:rPr>
          <w:rFonts w:ascii="GHEA Grapalat" w:hAnsi="GHEA Grapalat" w:cs="Arial"/>
          <w:sz w:val="16"/>
          <w:szCs w:val="16"/>
        </w:rPr>
        <w:t xml:space="preserve">վի </w:t>
      </w:r>
      <w:r w:rsidR="0077408E">
        <w:rPr>
          <w:rFonts w:ascii="GHEA Grapalat" w:hAnsi="GHEA Grapalat" w:cs="Arial"/>
          <w:sz w:val="16"/>
          <w:szCs w:val="16"/>
          <w:lang w:val="hy-AM"/>
        </w:rPr>
        <w:t xml:space="preserve">ԴԻՄԻՏՐՈՎԻ </w:t>
      </w:r>
      <w:r w:rsidR="0077408E">
        <w:rPr>
          <w:rFonts w:ascii="GHEA Grapalat" w:hAnsi="GHEA Grapalat" w:cs="Arial"/>
          <w:sz w:val="16"/>
          <w:szCs w:val="16"/>
        </w:rPr>
        <w:t xml:space="preserve"> ԱԱՊԿ&gt;&gt; ՊՈԱԿ-ից 10</w:t>
      </w:r>
      <w:r w:rsidRPr="00664516">
        <w:rPr>
          <w:rFonts w:ascii="GHEA Grapalat" w:hAnsi="GHEA Grapalat" w:cs="Arial"/>
          <w:sz w:val="16"/>
          <w:szCs w:val="16"/>
        </w:rPr>
        <w:t>կմ շառավղով հեռավորության վրա: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2.   Մատակարարը բնակչին  դեղորայքով պետք է ապահովվի բնակչի պահանջի պահից 24 ժամվա ընթացքում: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3.   Մատակարարը պետք է ապահովի ստանդարտին համապատասխան դեղորայք և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 հետ ընդունի անորակ դեղորայքը: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664516">
        <w:rPr>
          <w:rFonts w:ascii="GHEA Grapalat" w:hAnsi="GHEA Grapalat" w:cs="Arial"/>
          <w:sz w:val="16"/>
          <w:szCs w:val="16"/>
        </w:rPr>
        <w:t>4.   Անկանխատեսելի վիճակներից ելնելով դեղորայքի քանակը հնարավոր է փոփոխվի: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446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630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4A00AE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4A00AE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Բեռլիպրիլ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20 mg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Կոնկոր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Կալցի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Պրեդուկտալ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Նոլիպրել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Կավինտոն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Բետացիդ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0.5%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քսուք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Ֆերում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լեկ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Ֆուրոսեմիդ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աէրոզոլ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ցողացիր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EA46F8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EA46F8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Մետոտրեքսատ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Լոզապ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Դիկլոբերլ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Գլյուկովանս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5/500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Մետիպրեդ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Կարդիոմագնիլ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Կարդիոմագնիլ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Ակվադետրիմ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Հերբիոն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Նազիվին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0.025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ցողացիր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Նուրոֆեն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Ամոքսիկլավ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Պրոսպան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Վերոշպիրոն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Վերոշպիրոն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Ասպիրին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Կոնկոր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Դիկլոբերլ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կոմպլեքս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Ռենիտեկ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Տալլիտոն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Պանանգին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Արիֆոն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ռետարդ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Վիտրում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Ֆուրագին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50mg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Զենտել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Վիտրում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Դեպակին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Դիլթիազեմ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կավինտոն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Խարտիլ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Խեմոմիցին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5/20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էրեսպալ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օմեպրազոլ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Էգիլոկ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ռետարդ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Մելոֆլամ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EA46F8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Կարդիկետ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Ատարաքս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լուցետամ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Պրեստարիում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Թեոտարդ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Կարդիոլոպին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Կորաքսան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Կարդիկետ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Ամբրոքսոլ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Ազիթրոմիցին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250mg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6057B1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Գեդելիքս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Պիկովիտ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Ազիմակ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5/20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Նոլիպրել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Նոոտրոպիլ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Ամօքսիկլավ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312/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6057B1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Պոլիժեն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Ցեֆեկոն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 250m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մոմիկ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Էկվատոր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Դիգօքսին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962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</w:t>
            </w:r>
            <w:r w:rsidR="00ED7F9A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="00ED7F9A">
              <w:rPr>
                <w:rFonts w:ascii="Sylfaen" w:hAnsi="Sylfaen" w:cs="Sylfaen"/>
                <w:color w:val="000000"/>
                <w:sz w:val="18"/>
                <w:szCs w:val="18"/>
              </w:rPr>
              <w:t>դեքսին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7F9A" w:rsidRPr="0075654E" w:rsidTr="0077408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A54F1A" w:rsidRDefault="00ED7F9A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Միլդրոնատ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FE64A7" w:rsidRDefault="00ED7F9A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F9A" w:rsidRDefault="00ED7F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F9A" w:rsidRPr="004432AD" w:rsidRDefault="00ED7F9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3A0FC1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3A0FC1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CA1A5E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F683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F683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F683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F683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F683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F683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F683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F683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F683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Բեռլիպրիլ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20 mg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C6290" w:rsidRPr="00AA6031" w:rsidRDefault="008C6290" w:rsidP="000F6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10mg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Կոնկոր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Կալցի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Պրեդուկտալ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Նոլիպրել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Կավինտոն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Բետացիդ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0.5%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Ֆերում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լեկ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Ֆուրոսեմիդ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աէրոզոլ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Մետոտրեքսատ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Լոզապ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Դիկլոբերլ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Գլյուկովանս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5/500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Մետիպրեդ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Կարդիոմագնիլ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Կարդիոմագնիլ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Ակվադետրիմ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Հերբիոն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Նազիվին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0.025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Նուրոֆեն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Ամոքսիկլավ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Պրոսպան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Վերոշպիրոն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Վերոշպիրոն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Ասպիրին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Կոնկոր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Դիկլոբերլ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կոմպլեքս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Ռենիտեկ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Տալլիտոն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Պանանգին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Արիֆոն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ռետարդ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Վիտրում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Ֆուրագին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50mg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8C6290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Զենտել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8C6290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Վիտրում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Դեպակին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Դիլթիազեմ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կավինտոն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ֆորտե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Խարտիլ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Խեմոմիցին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5/20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էրեսպալ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օմեպրազոլ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Էգիլոկ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ռետարդ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Մելոֆլամ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Կարվեդիլոլ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Կարդիկետ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Ատարաքս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լուցետամ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Պրեստարիում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Թեոտարդ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Կարդիոլոպին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Կորաքսան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Կարդիկետ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Ամբրոքսոլ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Ազիթրոմիցին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250mg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Գեդելիքս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Պիկովիտ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Ազիմակ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5/20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Նոլիպրել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 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Նոոտրոպիլ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Ամօքսիկլավ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312/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Պոլիժեն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Ցեֆեկոն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 250m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Էկվատոր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Դիգօքսին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E962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</w:t>
            </w:r>
            <w:r w:rsidR="008C6290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="008C6290">
              <w:rPr>
                <w:rFonts w:ascii="Sylfaen" w:hAnsi="Sylfaen" w:cs="Sylfaen"/>
                <w:color w:val="000000"/>
                <w:sz w:val="18"/>
                <w:szCs w:val="18"/>
              </w:rPr>
              <w:t>դեքսին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C6290" w:rsidRPr="006C16C4" w:rsidTr="00A7511C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90" w:rsidRPr="00A54F1A" w:rsidRDefault="008C6290" w:rsidP="000F6832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290" w:rsidRDefault="008C62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Միլդրոնատ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6290" w:rsidRPr="00AA6031" w:rsidRDefault="008C6290" w:rsidP="000F683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A7F0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կողմը՝ ի դեմս________________________________________________, հիմք ընդունելով Պայմանագրի կատարման վերաբերյալ «____» «__________________» 20 թ.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lastRenderedPageBreak/>
        <w:t>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3347C6">
        <w:rPr>
          <w:rFonts w:ascii="GHEA Grapalat" w:hAnsi="GHEA Grapalat"/>
          <w:lang w:val="hy-AM"/>
        </w:rPr>
        <w:t xml:space="preserve"> </w:t>
      </w:r>
      <w:r w:rsidR="00FA7F0A">
        <w:rPr>
          <w:rFonts w:ascii="Sylfaen" w:hAnsi="Sylfaen"/>
          <w:lang w:val="en-US"/>
        </w:rPr>
        <w:t>ԱՄԴ</w:t>
      </w:r>
      <w:r w:rsidRPr="00212218">
        <w:rPr>
          <w:rFonts w:ascii="GHEA Grapalat" w:hAnsi="GHEA Grapalat"/>
          <w:lang w:val="hy-AM"/>
        </w:rPr>
        <w:t>ԱԱՊԿ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 w:cs="Sylfaen"/>
          <w:lang w:val="hy-AM"/>
        </w:rPr>
        <w:t>ՇՀԱՊՁԲ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/>
          <w:lang w:val="hy-AM"/>
        </w:rPr>
        <w:t>15</w:t>
      </w:r>
      <w:r w:rsidRPr="00212218">
        <w:rPr>
          <w:rFonts w:ascii="GHEA Grapalat" w:hAnsi="GHEA Grapalat"/>
          <w:lang w:val="es-ES"/>
        </w:rPr>
        <w:t>/</w:t>
      </w:r>
      <w:r w:rsidRPr="00212218">
        <w:rPr>
          <w:rFonts w:ascii="GHEA Grapalat" w:hAnsi="GHEA Grapalat"/>
          <w:lang w:val="hy-AM"/>
        </w:rPr>
        <w:t>4</w:t>
      </w:r>
      <w:r w:rsidRPr="00212218">
        <w:rPr>
          <w:rFonts w:ascii="GHEA Grapalat" w:hAnsi="GHEA Grapalat"/>
          <w:lang w:val="es-ES"/>
        </w:rPr>
        <w:t>-</w:t>
      </w:r>
      <w:r w:rsidRPr="00212218">
        <w:rPr>
          <w:rFonts w:ascii="GHEA Grapalat" w:hAnsi="GHEA Grapalat"/>
          <w:lang w:val="hy-AM"/>
        </w:rPr>
        <w:t>16/1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A7F0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EC721C" w:rsidRPr="00EC721C">
        <w:rPr>
          <w:rFonts w:ascii="GHEA Grapalat" w:hAnsi="GHEA Grapalat" w:cs="Times Armenian"/>
          <w:sz w:val="22"/>
          <w:lang w:val="hy-AM"/>
        </w:rPr>
        <w:t xml:space="preserve"> </w:t>
      </w:r>
      <w:r w:rsidR="00EC721C">
        <w:rPr>
          <w:rFonts w:ascii="GHEA Grapalat" w:hAnsi="GHEA Grapalat" w:cs="Times Armenian"/>
          <w:sz w:val="22"/>
          <w:lang w:val="hy-AM"/>
        </w:rPr>
        <w:t>ԱՄԴ</w:t>
      </w:r>
      <w:r w:rsidR="00EC721C">
        <w:rPr>
          <w:rFonts w:ascii="GHEA Grapalat" w:hAnsi="GHEA Grapalat" w:cs="Times Armenian"/>
          <w:sz w:val="22"/>
          <w:lang w:val="ru-RU"/>
        </w:rPr>
        <w:t>ԱԱՊԿ</w:t>
      </w:r>
      <w:r w:rsidR="00EC721C" w:rsidRPr="005358F5">
        <w:rPr>
          <w:rFonts w:ascii="GHEA Grapalat" w:hAnsi="GHEA Grapalat" w:cs="Times Armenian"/>
          <w:sz w:val="22"/>
          <w:lang w:val="af-ZA"/>
        </w:rPr>
        <w:t>-</w:t>
      </w:r>
      <w:r w:rsidR="00EC721C">
        <w:rPr>
          <w:rFonts w:ascii="GHEA Grapalat" w:hAnsi="GHEA Grapalat" w:cs="Sylfaen"/>
          <w:sz w:val="22"/>
        </w:rPr>
        <w:t>ՇՀԱՊՁԲ</w:t>
      </w:r>
      <w:r w:rsidR="00EC721C" w:rsidRPr="005358F5">
        <w:rPr>
          <w:rFonts w:ascii="GHEA Grapalat" w:hAnsi="GHEA Grapalat" w:cs="Sylfaen"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3347C6" w:rsidRPr="005358F5">
        <w:rPr>
          <w:rFonts w:ascii="GHEA Grapalat" w:hAnsi="GHEA Grapalat"/>
          <w:b/>
          <w:lang w:val="es-ES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EC721C" w:rsidRPr="00EC721C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 w:rsidRPr="003A0FC1">
        <w:rPr>
          <w:rFonts w:ascii="GHEA Grapalat" w:hAnsi="GHEA Grapalat" w:cs="Times Armenian"/>
          <w:i/>
          <w:sz w:val="22"/>
          <w:lang w:val="hy-AM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 w:rsidRPr="003A0FC1">
        <w:rPr>
          <w:rFonts w:ascii="GHEA Grapalat" w:hAnsi="GHEA Grapalat" w:cs="Sylfaen"/>
          <w:i/>
          <w:sz w:val="22"/>
          <w:lang w:val="hy-AM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 w:rsidRPr="003A0FC1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EC721C" w:rsidRPr="00EC721C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EC721C">
        <w:rPr>
          <w:rFonts w:ascii="GHEA Grapalat" w:hAnsi="GHEA Grapalat" w:cs="Times Armenian"/>
          <w:i/>
          <w:sz w:val="22"/>
          <w:lang w:val="hy-AM"/>
        </w:rPr>
        <w:t>ԱՄԴ</w:t>
      </w:r>
      <w:r w:rsidR="00EC721C">
        <w:rPr>
          <w:rFonts w:ascii="GHEA Grapalat" w:hAnsi="GHEA Grapalat" w:cs="Times Armenian"/>
          <w:i/>
          <w:sz w:val="22"/>
          <w:lang w:val="ru-RU"/>
        </w:rPr>
        <w:t>ԱԱՊԿ</w:t>
      </w:r>
      <w:r w:rsidR="00EC721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EC721C">
        <w:rPr>
          <w:rFonts w:ascii="GHEA Grapalat" w:hAnsi="GHEA Grapalat" w:cs="Sylfaen"/>
          <w:i/>
          <w:sz w:val="22"/>
        </w:rPr>
        <w:t>ՇՀԱՊՁԲ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EC721C" w:rsidRPr="008D25A0">
        <w:rPr>
          <w:rFonts w:ascii="GHEA Grapalat" w:hAnsi="GHEA Grapalat"/>
          <w:lang w:val="pt-BR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A7F0A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EC721C" w:rsidRPr="00EC721C">
        <w:rPr>
          <w:rFonts w:ascii="GHEA Grapalat" w:hAnsi="GHEA Grapalat" w:cs="Times Armenian"/>
          <w:sz w:val="22"/>
          <w:lang w:val="hy-AM"/>
        </w:rPr>
        <w:t xml:space="preserve"> </w:t>
      </w:r>
      <w:r w:rsidR="00EC721C">
        <w:rPr>
          <w:rFonts w:ascii="GHEA Grapalat" w:hAnsi="GHEA Grapalat" w:cs="Times Armenian"/>
          <w:sz w:val="22"/>
          <w:lang w:val="hy-AM"/>
        </w:rPr>
        <w:t>ԱՄԴ</w:t>
      </w:r>
      <w:r w:rsidR="00EC721C">
        <w:rPr>
          <w:rFonts w:ascii="GHEA Grapalat" w:hAnsi="GHEA Grapalat" w:cs="Times Armenian"/>
          <w:sz w:val="22"/>
          <w:lang w:val="ru-RU"/>
        </w:rPr>
        <w:t>ԱԱՊԿ</w:t>
      </w:r>
      <w:r w:rsidR="00EC721C" w:rsidRPr="005358F5">
        <w:rPr>
          <w:rFonts w:ascii="GHEA Grapalat" w:hAnsi="GHEA Grapalat" w:cs="Times Armenian"/>
          <w:sz w:val="22"/>
          <w:lang w:val="af-ZA"/>
        </w:rPr>
        <w:t>-</w:t>
      </w:r>
      <w:r w:rsidR="00EC721C">
        <w:rPr>
          <w:rFonts w:ascii="GHEA Grapalat" w:hAnsi="GHEA Grapalat" w:cs="Sylfaen"/>
          <w:sz w:val="22"/>
        </w:rPr>
        <w:t>ՇՀԱՊՁԲ</w:t>
      </w:r>
      <w:r w:rsidR="00EC721C" w:rsidRPr="005358F5">
        <w:rPr>
          <w:rFonts w:ascii="GHEA Grapalat" w:hAnsi="GHEA Grapalat" w:cs="Sylfaen"/>
          <w:sz w:val="22"/>
          <w:lang w:val="af-ZA"/>
        </w:rPr>
        <w:t>-</w:t>
      </w:r>
      <w:r w:rsidR="00EC721C" w:rsidRPr="00E64CEF">
        <w:rPr>
          <w:rFonts w:ascii="GHEA Grapalat" w:hAnsi="GHEA Grapalat" w:cs="Sylfaen"/>
          <w:sz w:val="22"/>
          <w:lang w:val="af-ZA"/>
        </w:rPr>
        <w:t>16/1</w:t>
      </w:r>
      <w:r w:rsidR="00EC721C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B2A" w:rsidRDefault="007D0B2A">
      <w:r>
        <w:separator/>
      </w:r>
    </w:p>
  </w:endnote>
  <w:endnote w:type="continuationSeparator" w:id="1">
    <w:p w:rsidR="007D0B2A" w:rsidRDefault="007D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CC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2000000000000000000"/>
    <w:charset w:val="CC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CC"/>
    <w:family w:val="roman"/>
    <w:pitch w:val="variable"/>
    <w:sig w:usb0="00000607" w:usb1="00000000" w:usb2="00000000" w:usb3="00000000" w:csb0="00000007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B2A" w:rsidRDefault="007D0B2A">
      <w:r>
        <w:separator/>
      </w:r>
    </w:p>
  </w:footnote>
  <w:footnote w:type="continuationSeparator" w:id="1">
    <w:p w:rsidR="007D0B2A" w:rsidRDefault="007D0B2A">
      <w:r>
        <w:continuationSeparator/>
      </w:r>
    </w:p>
  </w:footnote>
  <w:footnote w:id="2">
    <w:p w:rsidR="007D0B2A" w:rsidRPr="008A575A" w:rsidRDefault="007D0B2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7D0B2A" w:rsidRPr="003043DA" w:rsidRDefault="007D0B2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7D0B2A" w:rsidRDefault="007D0B2A" w:rsidP="003E7CB4">
      <w:pPr>
        <w:pStyle w:val="af2"/>
      </w:pPr>
    </w:p>
  </w:footnote>
  <w:footnote w:id="4">
    <w:p w:rsidR="007D0B2A" w:rsidRPr="008B6FBF" w:rsidRDefault="007D0B2A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D0B2A" w:rsidRPr="00CD289A" w:rsidRDefault="007D0B2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7D0B2A" w:rsidRPr="00CD289A" w:rsidRDefault="007D0B2A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7D0B2A" w:rsidRDefault="007D0B2A" w:rsidP="003E7CB4">
      <w:pPr>
        <w:pStyle w:val="af2"/>
      </w:pPr>
    </w:p>
  </w:footnote>
  <w:footnote w:id="7">
    <w:p w:rsidR="007D0B2A" w:rsidRPr="00070D06" w:rsidRDefault="007D0B2A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7D0B2A" w:rsidRPr="00D56029" w:rsidRDefault="007D0B2A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7D0B2A" w:rsidRPr="00D56029" w:rsidRDefault="007D0B2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7D0B2A" w:rsidRPr="00D56029" w:rsidRDefault="007D0B2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7D0B2A" w:rsidRPr="00141DAB" w:rsidRDefault="007D0B2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7D0B2A" w:rsidRPr="00873805" w:rsidRDefault="007D0B2A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7D0B2A" w:rsidRPr="00082BBE" w:rsidRDefault="007D0B2A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7D0B2A" w:rsidRPr="00FA02E4" w:rsidRDefault="007D0B2A" w:rsidP="003E7CB4">
      <w:pPr>
        <w:pStyle w:val="af2"/>
        <w:rPr>
          <w:lang w:val="hy-AM"/>
        </w:rPr>
      </w:pPr>
    </w:p>
  </w:footnote>
  <w:footnote w:id="14">
    <w:p w:rsidR="007D0B2A" w:rsidRPr="001A5071" w:rsidRDefault="007D0B2A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7D0B2A" w:rsidRPr="00607F23" w:rsidRDefault="007D0B2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D0B2A" w:rsidRPr="00F02112" w:rsidRDefault="007D0B2A">
      <w:pPr>
        <w:pStyle w:val="af2"/>
        <w:rPr>
          <w:lang w:val="hy-AM"/>
        </w:rPr>
      </w:pPr>
    </w:p>
  </w:footnote>
  <w:footnote w:id="16">
    <w:p w:rsidR="007D0B2A" w:rsidRPr="00F02112" w:rsidRDefault="007D0B2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7D0B2A" w:rsidRPr="00F02112" w:rsidRDefault="007D0B2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7D0B2A" w:rsidRPr="00F02112" w:rsidRDefault="007D0B2A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D0B2A" w:rsidRPr="00F02112" w:rsidRDefault="007D0B2A">
      <w:pPr>
        <w:pStyle w:val="af2"/>
        <w:rPr>
          <w:lang w:val="hy-AM"/>
        </w:rPr>
      </w:pPr>
    </w:p>
  </w:footnote>
  <w:footnote w:id="19">
    <w:p w:rsidR="007D0B2A" w:rsidRPr="00F02112" w:rsidRDefault="007D0B2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15A5"/>
    <w:multiLevelType w:val="hybridMultilevel"/>
    <w:tmpl w:val="317E330C"/>
    <w:lvl w:ilvl="0" w:tplc="BAE8D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6832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7B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3D29"/>
    <w:rsid w:val="001F4ACC"/>
    <w:rsid w:val="001F653D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A25"/>
    <w:rsid w:val="002A157B"/>
    <w:rsid w:val="002A464D"/>
    <w:rsid w:val="002A585B"/>
    <w:rsid w:val="002A6E2E"/>
    <w:rsid w:val="002C2AAB"/>
    <w:rsid w:val="002D3024"/>
    <w:rsid w:val="002D5EFF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788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0FC1"/>
    <w:rsid w:val="003A145D"/>
    <w:rsid w:val="003A23FE"/>
    <w:rsid w:val="003A5049"/>
    <w:rsid w:val="003A529D"/>
    <w:rsid w:val="003A5F25"/>
    <w:rsid w:val="003A6EAD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4163"/>
    <w:rsid w:val="00447808"/>
    <w:rsid w:val="00447BEF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4F6DEB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D7271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5E4D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6461"/>
    <w:rsid w:val="0067714B"/>
    <w:rsid w:val="00684667"/>
    <w:rsid w:val="006870E3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7308"/>
    <w:rsid w:val="00757C87"/>
    <w:rsid w:val="007602A3"/>
    <w:rsid w:val="007640A1"/>
    <w:rsid w:val="00764D84"/>
    <w:rsid w:val="00764FE1"/>
    <w:rsid w:val="0076590D"/>
    <w:rsid w:val="00767AD3"/>
    <w:rsid w:val="00771389"/>
    <w:rsid w:val="00773DAE"/>
    <w:rsid w:val="0077408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77D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0B2A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235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561E8"/>
    <w:rsid w:val="008600D9"/>
    <w:rsid w:val="008605CE"/>
    <w:rsid w:val="00861F23"/>
    <w:rsid w:val="0086220F"/>
    <w:rsid w:val="00862230"/>
    <w:rsid w:val="0086238D"/>
    <w:rsid w:val="00866DD2"/>
    <w:rsid w:val="008715A0"/>
    <w:rsid w:val="008722C0"/>
    <w:rsid w:val="00873F7D"/>
    <w:rsid w:val="00880346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290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F0205"/>
    <w:rsid w:val="008F2FE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7511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BFE"/>
    <w:rsid w:val="00AD5BB0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6F55"/>
    <w:rsid w:val="00B3708A"/>
    <w:rsid w:val="00B403A0"/>
    <w:rsid w:val="00B424B4"/>
    <w:rsid w:val="00B425F0"/>
    <w:rsid w:val="00B43F0D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25A6"/>
    <w:rsid w:val="00B9495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1A5E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4D7B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2109"/>
    <w:rsid w:val="00D56E39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C44"/>
    <w:rsid w:val="00DE1DBE"/>
    <w:rsid w:val="00DE23F3"/>
    <w:rsid w:val="00DE45AE"/>
    <w:rsid w:val="00DE4C83"/>
    <w:rsid w:val="00DE6636"/>
    <w:rsid w:val="00DF0A61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248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21C"/>
    <w:rsid w:val="00EC7897"/>
    <w:rsid w:val="00ED11B2"/>
    <w:rsid w:val="00ED242F"/>
    <w:rsid w:val="00ED3069"/>
    <w:rsid w:val="00ED7F9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DFC"/>
    <w:rsid w:val="00F85F62"/>
    <w:rsid w:val="00F86162"/>
    <w:rsid w:val="00F86FF4"/>
    <w:rsid w:val="00F87B5F"/>
    <w:rsid w:val="00F914CF"/>
    <w:rsid w:val="00F92625"/>
    <w:rsid w:val="00F926AE"/>
    <w:rsid w:val="00F932ED"/>
    <w:rsid w:val="00F93695"/>
    <w:rsid w:val="00F95099"/>
    <w:rsid w:val="00F97B2B"/>
    <w:rsid w:val="00FA02E4"/>
    <w:rsid w:val="00FA0E41"/>
    <w:rsid w:val="00FA2ACC"/>
    <w:rsid w:val="00FA2CF7"/>
    <w:rsid w:val="00FA2FB6"/>
    <w:rsid w:val="00FA43C1"/>
    <w:rsid w:val="00FA6D55"/>
    <w:rsid w:val="00FA7F0A"/>
    <w:rsid w:val="00FB5ED8"/>
    <w:rsid w:val="00FC12EB"/>
    <w:rsid w:val="00FC13C6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1518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xl76">
    <w:name w:val="xl76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77">
    <w:name w:val="xl77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FF0000"/>
    </w:rPr>
  </w:style>
  <w:style w:type="paragraph" w:customStyle="1" w:styleId="xl78">
    <w:name w:val="xl78"/>
    <w:basedOn w:val="a"/>
    <w:rsid w:val="004F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79">
    <w:name w:val="xl79"/>
    <w:basedOn w:val="a"/>
    <w:rsid w:val="004F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80">
    <w:name w:val="xl80"/>
    <w:basedOn w:val="a"/>
    <w:rsid w:val="004F6DEB"/>
    <w:pPr>
      <w:pBdr>
        <w:right w:val="single" w:sz="8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81">
    <w:name w:val="xl81"/>
    <w:basedOn w:val="a"/>
    <w:rsid w:val="004F6DEB"/>
    <w:pPr>
      <w:spacing w:before="100" w:beforeAutospacing="1" w:after="100" w:afterAutospacing="1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83">
    <w:name w:val="xl83"/>
    <w:basedOn w:val="a"/>
    <w:rsid w:val="004F6DEB"/>
    <w:pPr>
      <w:spacing w:before="100" w:beforeAutospacing="1" w:after="100" w:afterAutospacing="1"/>
    </w:pPr>
    <w:rPr>
      <w:rFonts w:ascii="GHEA Grapalat" w:hAnsi="GHEA Grapalat"/>
      <w:color w:val="FF0000"/>
    </w:rPr>
  </w:style>
  <w:style w:type="paragraph" w:customStyle="1" w:styleId="xl84">
    <w:name w:val="xl84"/>
    <w:basedOn w:val="a"/>
    <w:rsid w:val="004F6DE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</w:rPr>
  </w:style>
  <w:style w:type="paragraph" w:customStyle="1" w:styleId="xl85">
    <w:name w:val="xl85"/>
    <w:basedOn w:val="a"/>
    <w:rsid w:val="004F6DEB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</w:rPr>
  </w:style>
  <w:style w:type="paragraph" w:customStyle="1" w:styleId="xl86">
    <w:name w:val="xl86"/>
    <w:basedOn w:val="a"/>
    <w:rsid w:val="004F6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</w:rPr>
  </w:style>
  <w:style w:type="paragraph" w:customStyle="1" w:styleId="xl87">
    <w:name w:val="xl87"/>
    <w:basedOn w:val="a"/>
    <w:rsid w:val="004F6D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</w:rPr>
  </w:style>
  <w:style w:type="paragraph" w:customStyle="1" w:styleId="xl88">
    <w:name w:val="xl88"/>
    <w:basedOn w:val="a"/>
    <w:rsid w:val="004F6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</w:rPr>
  </w:style>
  <w:style w:type="paragraph" w:customStyle="1" w:styleId="xl89">
    <w:name w:val="xl89"/>
    <w:basedOn w:val="a"/>
    <w:rsid w:val="004F6DEB"/>
    <w:pPr>
      <w:spacing w:before="100" w:beforeAutospacing="1" w:after="100" w:afterAutospacing="1"/>
      <w:textAlignment w:val="center"/>
    </w:pPr>
    <w:rPr>
      <w:rFonts w:ascii="GHEA Grapalat" w:hAnsi="GHEA Grapalat"/>
    </w:rPr>
  </w:style>
  <w:style w:type="paragraph" w:customStyle="1" w:styleId="xl90">
    <w:name w:val="xl90"/>
    <w:basedOn w:val="a"/>
    <w:rsid w:val="004F6DEB"/>
    <w:pPr>
      <w:pBdr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</w:rPr>
  </w:style>
  <w:style w:type="paragraph" w:customStyle="1" w:styleId="xl91">
    <w:name w:val="xl91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92">
    <w:name w:val="xl92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93">
    <w:name w:val="xl93"/>
    <w:basedOn w:val="a"/>
    <w:rsid w:val="004F6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94">
    <w:name w:val="xl94"/>
    <w:basedOn w:val="a"/>
    <w:rsid w:val="004F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95">
    <w:name w:val="xl95"/>
    <w:basedOn w:val="a"/>
    <w:rsid w:val="004F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HEA Grapalat" w:hAnsi="GHEA Grapalat"/>
    </w:rPr>
  </w:style>
  <w:style w:type="paragraph" w:customStyle="1" w:styleId="xl96">
    <w:name w:val="xl96"/>
    <w:basedOn w:val="a"/>
    <w:rsid w:val="004F6DE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</w:rPr>
  </w:style>
  <w:style w:type="paragraph" w:customStyle="1" w:styleId="xl97">
    <w:name w:val="xl97"/>
    <w:basedOn w:val="a"/>
    <w:rsid w:val="004F6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</w:rPr>
  </w:style>
  <w:style w:type="paragraph" w:customStyle="1" w:styleId="xl98">
    <w:name w:val="xl98"/>
    <w:basedOn w:val="a"/>
    <w:rsid w:val="004F6DEB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GHEA Grapalat" w:hAnsi="GHEA Grapalat"/>
      <w:b/>
      <w:bCs/>
      <w:i/>
      <w:iCs/>
    </w:rPr>
  </w:style>
  <w:style w:type="paragraph" w:customStyle="1" w:styleId="xl99">
    <w:name w:val="xl99"/>
    <w:basedOn w:val="a"/>
    <w:rsid w:val="004F6DE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GHEA Grapalat" w:hAnsi="GHEA Grapalat"/>
      <w:b/>
      <w:bCs/>
      <w:i/>
      <w:iCs/>
    </w:rPr>
  </w:style>
  <w:style w:type="paragraph" w:customStyle="1" w:styleId="xl100">
    <w:name w:val="xl100"/>
    <w:basedOn w:val="a"/>
    <w:rsid w:val="004F6D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</w:rPr>
  </w:style>
  <w:style w:type="paragraph" w:customStyle="1" w:styleId="xl101">
    <w:name w:val="xl101"/>
    <w:basedOn w:val="a"/>
    <w:rsid w:val="004F6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47AA-DDBC-436A-911F-36A616AB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4798</TotalTime>
  <Pages>59</Pages>
  <Words>16121</Words>
  <Characters>114202</Characters>
  <Application>Microsoft Office Word</Application>
  <DocSecurity>0</DocSecurity>
  <Lines>951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130063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Mobi-Art</cp:lastModifiedBy>
  <cp:revision>19</cp:revision>
  <cp:lastPrinted>2015-03-25T12:26:00Z</cp:lastPrinted>
  <dcterms:created xsi:type="dcterms:W3CDTF">2015-03-04T07:47:00Z</dcterms:created>
  <dcterms:modified xsi:type="dcterms:W3CDTF">2016-01-12T17:05:00Z</dcterms:modified>
</cp:coreProperties>
</file>