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C854F5">
        <w:rPr>
          <w:rFonts w:ascii="GHEA Grapalat" w:hAnsi="GHEA Grapalat" w:cs="Sylfaen"/>
          <w:b/>
          <w:color w:val="000000" w:themeColor="text1"/>
          <w:szCs w:val="24"/>
        </w:rPr>
        <w:t>141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C854F5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11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4A53" w:rsidRPr="00DA39D8">
        <w:rPr>
          <w:rFonts w:ascii="GHEA Grapalat" w:hAnsi="GHEA Grapalat" w:cs="Sylfaen"/>
          <w:szCs w:val="24"/>
          <w:lang w:val="pt-BR"/>
        </w:rPr>
        <w:t>«</w:t>
      </w:r>
      <w:r w:rsidR="00B05BBB">
        <w:rPr>
          <w:rFonts w:ascii="GHEA Grapalat" w:hAnsi="GHEA Grapalat" w:cs="Sylfaen"/>
          <w:szCs w:val="24"/>
          <w:lang w:val="pt-BR"/>
        </w:rPr>
        <w:t>ՀԱՇ ԸՆԴ ՀԱՇ ՓՐԻՆԹ</w:t>
      </w:r>
      <w:r w:rsidR="00DF4A53" w:rsidRPr="00DA39D8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B05BBB">
        <w:rPr>
          <w:rFonts w:ascii="GHEA Grapalat" w:hAnsi="GHEA Grapalat" w:cs="Sylfaen"/>
          <w:szCs w:val="24"/>
          <w:lang w:val="pt-BR"/>
        </w:rPr>
        <w:t>տնօրեն Հ. Առուստամ</w:t>
      </w:r>
      <w:r w:rsidR="00DF4A53" w:rsidRPr="00DA39D8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854F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8B56D2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8B56D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8B56D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ք. Երևան,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Սեբաստիա փ. 80շ. բն. 16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«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Արարատբանկ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ԲԸ 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Հ/Հ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1510003104750100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ՀՎՀՀ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01842639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B05BBB" w:rsidRPr="008D077F">
                <w:rPr>
                  <w:rStyle w:val="Hyperlink"/>
                  <w:rFonts w:ascii="GHEA Grapalat" w:hAnsi="GHEA Grapalat" w:cs="Sylfaen"/>
                  <w:szCs w:val="24"/>
                  <w:lang w:val="pt-BR"/>
                </w:rPr>
                <w:t>handhprintltd@mail.ru</w:t>
              </w:r>
            </w:hyperlink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Հեռ. (0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91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411872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(ստորագրություն</w:t>
            </w:r>
            <w:r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335F26" w:rsidRPr="00335F26" w:rsidRDefault="00DF4A53" w:rsidP="00DF4A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Առուստամ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C854F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D2C23"/>
    <w:rsid w:val="008F7619"/>
    <w:rsid w:val="00911B6E"/>
    <w:rsid w:val="009908D6"/>
    <w:rsid w:val="009B3442"/>
    <w:rsid w:val="009E4388"/>
    <w:rsid w:val="009F3716"/>
    <w:rsid w:val="00A0175C"/>
    <w:rsid w:val="00A30AFA"/>
    <w:rsid w:val="00A34F18"/>
    <w:rsid w:val="00A47990"/>
    <w:rsid w:val="00A67150"/>
    <w:rsid w:val="00A90019"/>
    <w:rsid w:val="00A90CA7"/>
    <w:rsid w:val="00AF39FF"/>
    <w:rsid w:val="00B05BBB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dhprintlt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118</cp:revision>
  <cp:lastPrinted>2015-10-14T13:11:00Z</cp:lastPrinted>
  <dcterms:created xsi:type="dcterms:W3CDTF">2015-03-28T10:52:00Z</dcterms:created>
  <dcterms:modified xsi:type="dcterms:W3CDTF">2016-02-12T06:21:00Z</dcterms:modified>
</cp:coreProperties>
</file>