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BF4EBD">
        <w:rPr>
          <w:rFonts w:ascii="GHEA Grapalat" w:hAnsi="GHEA Grapalat"/>
          <w:i/>
          <w:lang w:val="af-ZA"/>
        </w:rPr>
        <w:t>ՀՀ ԿԱ Ո-ՊԸԾՁԲ-2016/ՎԾ/1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7C3B01" w:rsidRPr="007C3B01">
        <w:rPr>
          <w:rFonts w:ascii="GHEA Grapalat" w:hAnsi="GHEA Grapalat" w:cs="Sylfaen"/>
          <w:b/>
          <w:szCs w:val="24"/>
          <w:lang w:val="hy-AM"/>
        </w:rPr>
        <w:t xml:space="preserve"> </w:t>
      </w:r>
      <w:r w:rsidR="00BF4EBD">
        <w:rPr>
          <w:rFonts w:ascii="GHEA Grapalat" w:hAnsi="GHEA Grapalat"/>
          <w:i/>
          <w:lang w:val="af-ZA"/>
        </w:rPr>
        <w:t>ՀՀ ԿԱ Ո-ՊԸԾՁԲ-2016/ՎԾ/1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C50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5087E" w:rsidRPr="00BF4EBD" w:rsidTr="00C5087E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C5087E" w:rsidRPr="007C65E9" w:rsidRDefault="00C5087E" w:rsidP="00C5087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87E" w:rsidRPr="00854397" w:rsidRDefault="00C5087E" w:rsidP="00C5087E">
            <w:pPr>
              <w:jc w:val="center"/>
              <w:rPr>
                <w:rFonts w:ascii="GHEA Grapalat" w:hAnsi="GHEA Grapalat" w:cs="Arial"/>
                <w:bCs/>
                <w:i/>
                <w:sz w:val="18"/>
                <w:szCs w:val="18"/>
                <w:lang w:val="pt-BR"/>
              </w:rPr>
            </w:pPr>
            <w:r w:rsidRPr="00854397">
              <w:rPr>
                <w:rFonts w:ascii="GHEA Grapalat" w:hAnsi="GHEA Grapalat" w:cs="Arial"/>
                <w:b/>
                <w:bCs/>
                <w:i/>
                <w:sz w:val="18"/>
                <w:szCs w:val="18"/>
                <w:lang w:val="pt-BR"/>
              </w:rPr>
              <w:t>Վառարանների և ծխնելույզների մաքրման ծառայություններ</w:t>
            </w:r>
          </w:p>
          <w:p w:rsidR="00C5087E" w:rsidRPr="00C30B30" w:rsidRDefault="00C5087E" w:rsidP="00C5087E">
            <w:pPr>
              <w:jc w:val="center"/>
              <w:rPr>
                <w:rFonts w:ascii="GHEA Grapalat" w:hAnsi="GHEA Grapalat" w:cs="TimesArmenianPSMT"/>
                <w:b/>
                <w:i/>
                <w:sz w:val="20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87E" w:rsidRPr="007C65E9" w:rsidRDefault="00C5087E" w:rsidP="00C5087E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87E" w:rsidRPr="007C65E9" w:rsidRDefault="00C5087E" w:rsidP="00C5087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87E" w:rsidRPr="007C65E9" w:rsidRDefault="00C5087E" w:rsidP="00C5087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87E" w:rsidRPr="00307CA0" w:rsidRDefault="00C5087E" w:rsidP="00C5087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900000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87E" w:rsidRPr="00307CA0" w:rsidRDefault="00C5087E" w:rsidP="00C5087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900000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5087E" w:rsidRPr="00C5087E" w:rsidRDefault="00C5087E" w:rsidP="00C5087E">
            <w:pPr>
              <w:jc w:val="both"/>
              <w:rPr>
                <w:rFonts w:ascii="GHEA Grapalat" w:hAnsi="GHEA Grapalat" w:cs="Sylfaen"/>
                <w:b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Sylfaen"/>
                <w:b/>
                <w:i/>
                <w:sz w:val="12"/>
                <w:szCs w:val="12"/>
                <w:lang w:val="af-ZA"/>
              </w:rPr>
              <w:t>Տեխնիկական պահանջներ.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-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Իրականացնել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գազասարքերի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ծխատար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խողովակների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հավաքակցման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ծխատար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ուղուն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միացման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օդափոխության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այրման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համար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անհրաժեշտ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օդաքանակի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ներհոսքի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համար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նախատեսված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բացվածքի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զննում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ուղիների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քարշի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ստուգում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բացակայության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/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խաթարված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լինելու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/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դեպքում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ուղիների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մաքրում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 /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մաքրումը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ընդգրկում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է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այն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բոլոր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աշխատանքները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որոնք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անհրաժեշտ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է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կատարել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քարշն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ապահովելու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համար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այդ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թվում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մաքրել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ծխաօդատարները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մեխանիկական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եղանակով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/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ծանրոցի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օգնությամբ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ինչպես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նաև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վերացնել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ցանկացած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արգելք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բացառությամբ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այն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դեպքերի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որոնք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կապված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են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կառուցվածքային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ամբողջության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խաթարման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հետ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: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ուղիների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նորոգման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վերականգնման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վերակառուցման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ինչպես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նաև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կառավարության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29.10.2004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թ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.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թիվ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1843-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որոշմամբ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հաստատված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&lt;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Գազի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տնտեսությունում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տարրերի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տեխնիկական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շահագործման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կանոններ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աշխատանքի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անվտանգության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պահանջներ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&gt;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տեխնիկական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կանոնակարգով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նախատեսված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պարբերաբար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կատարվող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աշխատանքներն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իրականացվում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են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ուղիների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սեփականատիրոջ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միջոցների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հաշվին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: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-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փորձարկել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ստուգել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վենտիլյատորների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ծխատարերի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դրանց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էլեկտրաշարժիչների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փաստացի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վիճակը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աշխատանքը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;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-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զննել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կաթսաների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lastRenderedPageBreak/>
              <w:t>որմնապատվածքի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երեսվածքի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պայթեցման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կափյուրների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ձգափականների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սանդուղքների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անցումների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սարքինությունը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ինչպես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նաև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կաթսայատան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նրա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առանձին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հանգույցների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չափիչ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-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հսկիչ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սարքերի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լուսավորվածությունը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ու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օդափոխիչ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սարքերի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աշխատանքը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;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-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փորձարկել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ստուգել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կաթսաների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տաքացման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մակերեսը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կրակացանցերը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անհրաժեշտության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դեպքում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կատարել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խարամի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մոխրի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մաքրման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աշխատանքները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;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-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փորձարկել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ստուգել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վենտիլյատորների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ծխաքարշերի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էլեկտրաշարժիչների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հողանցման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սարքինությունը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;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- 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փորձարկել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ստուգել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հակահրդեհային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գույքի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առկայությունը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/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հրշեջ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վահանակ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կրակմարիչներ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երկու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տիպի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`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ածխաթթվային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քիմիական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/;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-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իրականացնել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բնական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գազի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օգտագործման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անվտանգության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կանոնների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պահպանման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ուղիներից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անվտանգ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օգտվելու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հրահանգավորում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`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գազի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տնտեսության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անվտանգության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նորմեր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սահմանել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տեխնիկական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կանոնակարգերի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պահանջներին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համապատասխան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: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b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b/>
                <w:i/>
                <w:sz w:val="12"/>
                <w:szCs w:val="12"/>
              </w:rPr>
              <w:t>Ծառայությունները</w:t>
            </w:r>
            <w:r w:rsidRPr="00C5087E">
              <w:rPr>
                <w:rFonts w:ascii="GHEA Grapalat" w:hAnsi="GHEA Grapalat" w:cs="TimesArmenianPSMT"/>
                <w:b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b/>
                <w:i/>
                <w:sz w:val="12"/>
                <w:szCs w:val="12"/>
              </w:rPr>
              <w:t>մատուցվելու</w:t>
            </w:r>
            <w:r w:rsidRPr="00C5087E">
              <w:rPr>
                <w:rFonts w:ascii="GHEA Grapalat" w:hAnsi="GHEA Grapalat" w:cs="TimesArmenianPSMT"/>
                <w:b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b/>
                <w:i/>
                <w:sz w:val="12"/>
                <w:szCs w:val="12"/>
              </w:rPr>
              <w:t>են</w:t>
            </w:r>
            <w:r w:rsidRPr="00C5087E">
              <w:rPr>
                <w:rFonts w:ascii="GHEA Grapalat" w:hAnsi="GHEA Grapalat" w:cs="TimesArmenianPSMT"/>
                <w:b/>
                <w:i/>
                <w:sz w:val="12"/>
                <w:szCs w:val="12"/>
                <w:lang w:val="af-ZA"/>
              </w:rPr>
              <w:t>.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b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գլխավոր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մասնաշենք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թիվ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2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մասնաշենք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թիվ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3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մասնաշենք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Էրեբունու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Խորենացի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փողոց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ԱՎՎ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քաղաքային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վարչություն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Շենգավիթի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Արաբկիրի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ՊՊԾ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գնդի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ուղեկցող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վաշտի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հոսպիտալի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ինտերպոլի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25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հրշեջ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մասի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ավտոտնտեսություն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Իսակովի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պողոտա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թիվ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1032, 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թիվ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1033,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թիվ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1011,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զորամասերի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ՁՊՎ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-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ԱՎՎ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-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Նոր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Նորքի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բաժանմունք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Նոր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Նորքի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Նոր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Նորքի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բաժնի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Ավանի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բաժանմունք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Մալաթիայի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Շենգավիթի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բաժնի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Չարբախի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բաժանմունք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lastRenderedPageBreak/>
              <w:t>Շիրակի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փողոց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կենտրոնական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բազա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Արշակունյաց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77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vertAlign w:val="superscript"/>
              </w:rPr>
              <w:t>ա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5087E" w:rsidRPr="00C5087E" w:rsidRDefault="00C5087E" w:rsidP="00C5087E">
            <w:pPr>
              <w:jc w:val="both"/>
              <w:rPr>
                <w:rFonts w:ascii="GHEA Grapalat" w:hAnsi="GHEA Grapalat" w:cs="Sylfaen"/>
                <w:b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Sylfaen"/>
                <w:b/>
                <w:i/>
                <w:sz w:val="12"/>
                <w:szCs w:val="12"/>
                <w:lang w:val="af-ZA"/>
              </w:rPr>
              <w:lastRenderedPageBreak/>
              <w:t>Տեխնիկական պահանջներ.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-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Իրականացնել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գազասարքերի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ծխատար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խողովակների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հավաքակցման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ծխատար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ուղուն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միացման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օդափոխության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այրման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համար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անհրաժեշտ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օդաքանակի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ներհոսքի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համար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նախատեսված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բացվածքի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զննում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ուղիների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քարշի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ստուգում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բացակայության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/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խաթարված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լինելու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/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դեպքում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ուղիների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մաքրում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 /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մաքրումը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ընդգրկում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է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այն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բոլոր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աշխատանքները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որոնք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անհրաժեշտ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է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կատարել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քարշն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ապահովելու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համար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այդ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թվում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մաքրել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ծխաօդատարները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մեխանիկական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եղանակով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/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ծանրոցի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օգնությամբ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ինչպես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նաև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վերացնել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ցանկացած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արգելք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բացառությամբ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այն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դեպքերի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որոնք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կապված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են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կառուցվածքային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ամբողջության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խաթարման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հետ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: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ուղիների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նորոգման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վերականգնման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վերակառուցման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ինչպես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նաև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կառավարության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29.10.2004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թ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.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թիվ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1843-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որոշմամբ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հաստատված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&lt;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Գազի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տնտեսությունում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տարրերի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տեխնիկական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շահագործման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կանոններ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աշխատանքի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անվտանգության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պահանջներ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&gt;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տեխնիկական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կանոնակարգով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նախատեսված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պարբերաբար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կատարվող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աշխատանքներն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իրականացվում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են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ուղիների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սեփականատիրոջ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միջոցների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հաշվին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: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-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փորձարկել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ստուգել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վենտիլյատորների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ծխատարերի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դրանց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էլեկտրաշարժիչների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փաստացի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վիճակը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աշխատանքը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;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-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զննել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կաթսաների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lastRenderedPageBreak/>
              <w:t>որմնապատվածքի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երեսվածքի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պայթեցման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կափյուրների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ձգափականների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սանդուղքների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անցումների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սարքինությունը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ինչպես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նաև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կաթսայատան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նրա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առանձին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հանգույցների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չափիչ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-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հսկիչ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սարքերի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լուսավորվածությունը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ու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օդափոխիչ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սարքերի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աշխատանքը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;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-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փորձարկել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ստուգել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կաթսաների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տաքացման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մակերեսը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կրակացանցերը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անհրաժեշտության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դեպքում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կատարել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խարամի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մոխրի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մաքրման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աշխատանքները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;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-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փորձարկել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ստուգել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վենտիլյատորների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ծխաքարշերի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էլեկտրաշարժիչների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հողանցման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սարքինությունը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;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- 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փորձարկել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ստուգել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հակահրդեհային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գույքի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առկայությունը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/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հրշեջ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վահանակ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կրակմարիչներ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երկու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տիպի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`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ածխաթթվային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քիմիական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/;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-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իրականացնել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բնական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գազի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օգտագործման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անվտանգության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կանոնների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պահպանման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ուղիներից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անվտանգ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օգտվելու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հրահանգավորում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`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գազի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տնտեսության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անվտանգության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նորմեր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սահմանել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տեխնիկական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կանոնակարգերի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պահանջներին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համապատասխան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: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b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b/>
                <w:i/>
                <w:sz w:val="12"/>
                <w:szCs w:val="12"/>
              </w:rPr>
              <w:t>Ծառայությունները</w:t>
            </w:r>
            <w:r w:rsidRPr="00C5087E">
              <w:rPr>
                <w:rFonts w:ascii="GHEA Grapalat" w:hAnsi="GHEA Grapalat" w:cs="TimesArmenianPSMT"/>
                <w:b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b/>
                <w:i/>
                <w:sz w:val="12"/>
                <w:szCs w:val="12"/>
              </w:rPr>
              <w:t>մատուցվելու</w:t>
            </w:r>
            <w:r w:rsidRPr="00C5087E">
              <w:rPr>
                <w:rFonts w:ascii="GHEA Grapalat" w:hAnsi="GHEA Grapalat" w:cs="TimesArmenianPSMT"/>
                <w:b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b/>
                <w:i/>
                <w:sz w:val="12"/>
                <w:szCs w:val="12"/>
              </w:rPr>
              <w:t>են</w:t>
            </w:r>
            <w:r w:rsidRPr="00C5087E">
              <w:rPr>
                <w:rFonts w:ascii="GHEA Grapalat" w:hAnsi="GHEA Grapalat" w:cs="TimesArmenianPSMT"/>
                <w:b/>
                <w:i/>
                <w:sz w:val="12"/>
                <w:szCs w:val="12"/>
                <w:lang w:val="af-ZA"/>
              </w:rPr>
              <w:t>.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b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գլխավոր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մասնաշենք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թիվ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2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մասնաշենք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թիվ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3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մասնաշենք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Էրեբունու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Խորենացի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փողոց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ԱՎՎ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քաղաքային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վարչություն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Շենգավիթի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Արաբկիրի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ՊՊԾ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գնդի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ուղեկցող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վաշտի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հոսպիտալի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ինտերպոլի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25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հրշեջ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մասի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ավտոտնտեսություն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Իսակովի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պողոտա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թիվ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1032, 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թիվ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1033,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թիվ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1011,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զորամասերի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ՁՊՎ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-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ԱՎՎ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-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Նոր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Նորքի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բաժանմունք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Նոր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Նորքի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Նոր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Նորքի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բաժնի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Ավանի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բաժանմունք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Մալաթիայի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Շենգավիթի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բաժնի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lastRenderedPageBreak/>
              <w:t>Չարբախի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բաժանմունք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Շիրակի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փողոց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կենտրոնական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բազա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Արշակունյաց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77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vertAlign w:val="superscript"/>
              </w:rPr>
              <w:t>ա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:</w:t>
            </w:r>
          </w:p>
        </w:tc>
      </w:tr>
      <w:tr w:rsidR="007C3B01" w:rsidRPr="00BF4EBD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C3B01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7C3B01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C5087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C5087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C5087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C5087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C5087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C5087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C3B01" w:rsidRPr="00BF4EBD" w:rsidRDefault="00BF4EBD" w:rsidP="00BF4EB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03</w:t>
            </w:r>
            <w:r w:rsidR="007C3B01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 w:rsidR="007C3B01">
              <w:rPr>
                <w:rFonts w:ascii="GHEA Grapalat" w:hAnsi="GHEA Grapalat" w:cs="Sylfaen"/>
                <w:sz w:val="12"/>
                <w:szCs w:val="12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2</w:t>
            </w:r>
            <w:r w:rsidR="007C3B01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="007C3B01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7C3B01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C3B01" w:rsidRPr="00D31737" w:rsidRDefault="007C3B01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C3B01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C3B01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C3B01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C3B01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E72167" w:rsidRPr="00D31737" w:rsidTr="00C5087E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72167" w:rsidRPr="00D31737" w:rsidRDefault="00E72167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72167" w:rsidRPr="00E72167" w:rsidRDefault="00E72167" w:rsidP="00C5087E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sz w:val="12"/>
                <w:szCs w:val="12"/>
                <w:lang w:val="pt-BR"/>
              </w:rPr>
            </w:pPr>
            <w:r w:rsidRPr="00E72167">
              <w:rPr>
                <w:rFonts w:ascii="GHEA Grapalat" w:hAnsi="GHEA Grapalat" w:cs="Sylfaen"/>
                <w:i/>
                <w:color w:val="000000" w:themeColor="text1"/>
                <w:sz w:val="12"/>
                <w:szCs w:val="12"/>
                <w:lang w:val="pt-BR"/>
              </w:rPr>
              <w:t>«Աննա Բաբայան» Ա/Ձ</w:t>
            </w:r>
          </w:p>
          <w:p w:rsidR="00E72167" w:rsidRPr="00E72167" w:rsidRDefault="00E72167" w:rsidP="00C5087E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2167" w:rsidRPr="00307CA0" w:rsidRDefault="00E72167" w:rsidP="00C5087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72167" w:rsidRPr="00307CA0" w:rsidRDefault="00E72167" w:rsidP="00C5087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900000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E72167" w:rsidRPr="00CA023A" w:rsidRDefault="00E72167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E72167" w:rsidRPr="00CA023A" w:rsidRDefault="00E72167" w:rsidP="00C5087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E72167" w:rsidRPr="00307CA0" w:rsidRDefault="00E72167" w:rsidP="00C5087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900000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E72167" w:rsidRPr="00307CA0" w:rsidRDefault="00E72167" w:rsidP="00C5087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900000</w:t>
            </w:r>
          </w:p>
        </w:tc>
      </w:tr>
      <w:tr w:rsidR="007C3B01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C5087E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7C3B01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C3B01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C3B01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C3B01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C3B01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7C3B01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C5087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B01" w:rsidRPr="00ED6F12" w:rsidRDefault="00BF4EBD" w:rsidP="00BF4E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7C3B0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7C3B01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7C3B01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7C3B01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C5087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C508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C5087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7C3B01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C3B01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C5087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B01" w:rsidRPr="00755967" w:rsidRDefault="00BF4EBD" w:rsidP="00BF4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 w:rsidR="00755967" w:rsidRPr="00755967">
              <w:rPr>
                <w:sz w:val="20"/>
              </w:rPr>
              <w:t>.0</w:t>
            </w:r>
            <w:r>
              <w:rPr>
                <w:sz w:val="20"/>
              </w:rPr>
              <w:t>2</w:t>
            </w:r>
            <w:r w:rsidR="00755967" w:rsidRPr="00755967">
              <w:rPr>
                <w:sz w:val="20"/>
              </w:rPr>
              <w:t>.1</w:t>
            </w:r>
            <w:r>
              <w:rPr>
                <w:sz w:val="20"/>
              </w:rPr>
              <w:t>6</w:t>
            </w:r>
          </w:p>
        </w:tc>
      </w:tr>
      <w:tr w:rsidR="007C3B01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C5087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B01" w:rsidRPr="00ED6F12" w:rsidRDefault="00BF4EBD" w:rsidP="00BF4E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7C3B0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7C3B01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7C3B01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7C3B01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C5087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B01" w:rsidRPr="00ED6F12" w:rsidRDefault="00755967" w:rsidP="00BF4E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F4EB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7C3B0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BF4EBD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7C3B01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BF4EB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7C3B01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7C3B01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C3B01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B737D5" w:rsidRDefault="007C3B01" w:rsidP="00C5087E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B737D5" w:rsidRDefault="007C3B01" w:rsidP="00C5087E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C3B01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C508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C508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C3B01" w:rsidRPr="00D31737" w:rsidTr="00C5087E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C508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C508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E72167" w:rsidRPr="00D31737" w:rsidTr="00D15E6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167" w:rsidRPr="004A42C8" w:rsidRDefault="00E7216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E72167" w:rsidRPr="00E72167" w:rsidRDefault="00E72167" w:rsidP="00C5087E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sz w:val="12"/>
                <w:szCs w:val="12"/>
                <w:lang w:val="pt-BR"/>
              </w:rPr>
            </w:pPr>
            <w:r w:rsidRPr="00E72167">
              <w:rPr>
                <w:rFonts w:ascii="GHEA Grapalat" w:hAnsi="GHEA Grapalat" w:cs="Sylfaen"/>
                <w:i/>
                <w:color w:val="000000" w:themeColor="text1"/>
                <w:sz w:val="12"/>
                <w:szCs w:val="12"/>
                <w:lang w:val="pt-BR"/>
              </w:rPr>
              <w:t>«Աննա Բաբայան» Ա/Ձ</w:t>
            </w:r>
          </w:p>
          <w:p w:rsidR="00E72167" w:rsidRPr="00E72167" w:rsidRDefault="00E72167" w:rsidP="00C5087E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72167" w:rsidRPr="00BF4EBD" w:rsidRDefault="00BF4EBD" w:rsidP="00C5087E">
            <w:pPr>
              <w:widowControl w:val="0"/>
              <w:rPr>
                <w:rFonts w:ascii="Sylfaen" w:hAnsi="Sylfaen" w:cs="Sylfaen"/>
                <w:sz w:val="16"/>
                <w:szCs w:val="16"/>
                <w:lang w:val="es-ES"/>
              </w:rPr>
            </w:pPr>
            <w:r w:rsidRPr="00BF4EBD">
              <w:rPr>
                <w:rFonts w:ascii="GHEA Grapalat" w:hAnsi="GHEA Grapalat"/>
                <w:i/>
                <w:sz w:val="16"/>
                <w:szCs w:val="16"/>
                <w:lang w:val="af-ZA"/>
              </w:rPr>
              <w:t>ՀՀ ԿԱ Ո-ՊԸԾՁԲ-2016/ՎԾ/1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72167" w:rsidRPr="00ED6F12" w:rsidRDefault="00755967" w:rsidP="00BF4E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F4EB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E7216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BF4EBD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E7216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BF4EB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E72167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E72167" w:rsidRPr="00D31737" w:rsidRDefault="00E72167" w:rsidP="00BF4E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</w:t>
            </w:r>
            <w:r w:rsidR="00BF4EBD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E72167" w:rsidRPr="00D31737" w:rsidRDefault="00E72167" w:rsidP="00C508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67" w:rsidRPr="00307CA0" w:rsidRDefault="00E72167" w:rsidP="00C5087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900000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167" w:rsidRPr="00307CA0" w:rsidRDefault="00E72167" w:rsidP="00C5087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900000</w:t>
            </w:r>
          </w:p>
        </w:tc>
      </w:tr>
      <w:tr w:rsidR="007C3B01" w:rsidRPr="00D31737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7C3B01" w:rsidRPr="00D31737" w:rsidRDefault="007C3B01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C3B01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C3B01" w:rsidRPr="007C65E9" w:rsidTr="00D15E6B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6C04A6" w:rsidRDefault="007C3B01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167" w:rsidRPr="00E72167" w:rsidRDefault="00E72167" w:rsidP="00E72167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sz w:val="12"/>
                <w:szCs w:val="12"/>
                <w:lang w:val="pt-BR"/>
              </w:rPr>
            </w:pPr>
            <w:r w:rsidRPr="00E72167">
              <w:rPr>
                <w:rFonts w:ascii="GHEA Grapalat" w:hAnsi="GHEA Grapalat" w:cs="Sylfaen"/>
                <w:i/>
                <w:color w:val="000000" w:themeColor="text1"/>
                <w:sz w:val="12"/>
                <w:szCs w:val="12"/>
                <w:lang w:val="pt-BR"/>
              </w:rPr>
              <w:t>«Աննա Բաբայան» Ա/Ձ</w:t>
            </w:r>
          </w:p>
          <w:p w:rsidR="007C3B01" w:rsidRPr="00E72167" w:rsidRDefault="007C3B01" w:rsidP="00C5087E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167" w:rsidRPr="00E72167" w:rsidRDefault="00E72167" w:rsidP="00E7216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2"/>
                <w:szCs w:val="12"/>
                <w:lang w:val="pt-BR"/>
              </w:rPr>
            </w:pPr>
            <w:r w:rsidRPr="00E72167">
              <w:rPr>
                <w:rFonts w:ascii="GHEA Grapalat" w:hAnsi="GHEA Grapalat" w:cs="Sylfaen"/>
                <w:b/>
                <w:i/>
                <w:sz w:val="12"/>
                <w:szCs w:val="12"/>
              </w:rPr>
              <w:t>Կոտայքի</w:t>
            </w:r>
            <w:r w:rsidRPr="00E72167">
              <w:rPr>
                <w:rFonts w:ascii="GHEA Grapalat" w:hAnsi="GHEA Grapalat" w:cs="Sylfaen"/>
                <w:b/>
                <w:i/>
                <w:sz w:val="12"/>
                <w:szCs w:val="12"/>
                <w:lang w:val="pt-BR"/>
              </w:rPr>
              <w:t xml:space="preserve"> </w:t>
            </w:r>
            <w:r w:rsidRPr="00E72167">
              <w:rPr>
                <w:rFonts w:ascii="GHEA Grapalat" w:hAnsi="GHEA Grapalat" w:cs="Sylfaen"/>
                <w:b/>
                <w:i/>
                <w:sz w:val="12"/>
                <w:szCs w:val="12"/>
              </w:rPr>
              <w:t>մարզ</w:t>
            </w:r>
            <w:r w:rsidRPr="00E72167">
              <w:rPr>
                <w:rFonts w:ascii="GHEA Grapalat" w:hAnsi="GHEA Grapalat" w:cs="Sylfaen"/>
                <w:b/>
                <w:i/>
                <w:sz w:val="12"/>
                <w:szCs w:val="12"/>
                <w:lang w:val="pt-BR"/>
              </w:rPr>
              <w:t xml:space="preserve">, </w:t>
            </w:r>
            <w:r w:rsidRPr="00E72167">
              <w:rPr>
                <w:rFonts w:ascii="GHEA Grapalat" w:hAnsi="GHEA Grapalat" w:cs="Sylfaen"/>
                <w:b/>
                <w:i/>
                <w:sz w:val="12"/>
                <w:szCs w:val="12"/>
              </w:rPr>
              <w:t>գյուղ</w:t>
            </w:r>
            <w:r w:rsidRPr="00E72167">
              <w:rPr>
                <w:rFonts w:ascii="GHEA Grapalat" w:hAnsi="GHEA Grapalat" w:cs="Sylfaen"/>
                <w:b/>
                <w:i/>
                <w:sz w:val="12"/>
                <w:szCs w:val="12"/>
                <w:lang w:val="pt-BR"/>
              </w:rPr>
              <w:t xml:space="preserve"> </w:t>
            </w:r>
            <w:r w:rsidRPr="00E72167">
              <w:rPr>
                <w:rFonts w:ascii="GHEA Grapalat" w:hAnsi="GHEA Grapalat" w:cs="Sylfaen"/>
                <w:b/>
                <w:i/>
                <w:sz w:val="12"/>
                <w:szCs w:val="12"/>
              </w:rPr>
              <w:t>Կոտայք</w:t>
            </w:r>
            <w:r w:rsidRPr="00E72167">
              <w:rPr>
                <w:rFonts w:ascii="GHEA Grapalat" w:hAnsi="GHEA Grapalat" w:cs="Sylfaen"/>
                <w:b/>
                <w:i/>
                <w:sz w:val="12"/>
                <w:szCs w:val="12"/>
                <w:lang w:val="pt-BR"/>
              </w:rPr>
              <w:t>, 4-</w:t>
            </w:r>
            <w:r w:rsidRPr="00E72167">
              <w:rPr>
                <w:rFonts w:ascii="GHEA Grapalat" w:hAnsi="GHEA Grapalat" w:cs="Sylfaen"/>
                <w:b/>
                <w:i/>
                <w:sz w:val="12"/>
                <w:szCs w:val="12"/>
              </w:rPr>
              <w:t>րդ</w:t>
            </w:r>
            <w:r w:rsidRPr="00E72167">
              <w:rPr>
                <w:rFonts w:ascii="GHEA Grapalat" w:hAnsi="GHEA Grapalat" w:cs="Sylfaen"/>
                <w:b/>
                <w:i/>
                <w:sz w:val="12"/>
                <w:szCs w:val="12"/>
                <w:lang w:val="pt-BR"/>
              </w:rPr>
              <w:t xml:space="preserve"> </w:t>
            </w:r>
            <w:r w:rsidRPr="00E72167">
              <w:rPr>
                <w:rFonts w:ascii="GHEA Grapalat" w:hAnsi="GHEA Grapalat" w:cs="Sylfaen"/>
                <w:b/>
                <w:i/>
                <w:sz w:val="12"/>
                <w:szCs w:val="12"/>
              </w:rPr>
              <w:t>փող</w:t>
            </w:r>
            <w:r w:rsidRPr="00E72167">
              <w:rPr>
                <w:rFonts w:ascii="GHEA Grapalat" w:hAnsi="GHEA Grapalat" w:cs="Sylfaen"/>
                <w:b/>
                <w:i/>
                <w:sz w:val="12"/>
                <w:szCs w:val="12"/>
                <w:lang w:val="pt-BR"/>
              </w:rPr>
              <w:t xml:space="preserve">., </w:t>
            </w:r>
            <w:r w:rsidRPr="00E72167">
              <w:rPr>
                <w:rFonts w:ascii="GHEA Grapalat" w:hAnsi="GHEA Grapalat" w:cs="Sylfaen"/>
                <w:b/>
                <w:i/>
                <w:sz w:val="12"/>
                <w:szCs w:val="12"/>
              </w:rPr>
              <w:t>տուն</w:t>
            </w:r>
            <w:r w:rsidRPr="00E72167">
              <w:rPr>
                <w:rFonts w:ascii="GHEA Grapalat" w:hAnsi="GHEA Grapalat" w:cs="Sylfaen"/>
                <w:b/>
                <w:i/>
                <w:sz w:val="12"/>
                <w:szCs w:val="12"/>
                <w:lang w:val="pt-BR"/>
              </w:rPr>
              <w:t xml:space="preserve"> 3</w:t>
            </w:r>
          </w:p>
          <w:p w:rsidR="007C3B01" w:rsidRPr="00E72167" w:rsidRDefault="007C3B01" w:rsidP="006C04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E72167" w:rsidRDefault="007C3B01" w:rsidP="00DE5760">
            <w:pPr>
              <w:jc w:val="center"/>
              <w:rPr>
                <w:rFonts w:ascii="GHEA Grapalat" w:hAnsi="GHEA Grapalat"/>
                <w:bCs/>
                <w:sz w:val="12"/>
                <w:szCs w:val="12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167" w:rsidRPr="00E72167" w:rsidRDefault="00E72167" w:rsidP="00E7216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2"/>
                <w:szCs w:val="12"/>
                <w:lang w:val="pt-BR"/>
              </w:rPr>
            </w:pPr>
            <w:r w:rsidRPr="00E72167">
              <w:rPr>
                <w:rFonts w:ascii="GHEA Grapalat" w:hAnsi="GHEA Grapalat"/>
                <w:b/>
                <w:i/>
                <w:sz w:val="12"/>
                <w:szCs w:val="12"/>
                <w:lang w:val="pt-BR"/>
              </w:rPr>
              <w:t>«</w:t>
            </w:r>
            <w:r w:rsidRPr="00E72167">
              <w:rPr>
                <w:rFonts w:ascii="GHEA Grapalat" w:hAnsi="GHEA Grapalat" w:cs="Sylfaen"/>
                <w:b/>
                <w:i/>
                <w:sz w:val="12"/>
                <w:szCs w:val="12"/>
                <w:lang w:val="pt-BR"/>
              </w:rPr>
              <w:t>Առէկսիմբանկ» ՓԲԸ</w:t>
            </w:r>
          </w:p>
          <w:p w:rsidR="007C3B01" w:rsidRPr="00E72167" w:rsidRDefault="00E72167" w:rsidP="00E7216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E72167">
              <w:rPr>
                <w:rFonts w:ascii="GHEA Grapalat" w:hAnsi="GHEA Grapalat"/>
                <w:b/>
                <w:i/>
                <w:sz w:val="12"/>
                <w:szCs w:val="12"/>
                <w:lang w:val="pt-BR"/>
              </w:rPr>
              <w:t>Հ/Հ 2380029290950100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167" w:rsidRPr="00E72167" w:rsidRDefault="00E72167" w:rsidP="00E72167">
            <w:pPr>
              <w:widowControl w:val="0"/>
              <w:jc w:val="center"/>
              <w:rPr>
                <w:rFonts w:ascii="GHEA Grapalat" w:hAnsi="GHEA Grapalat"/>
                <w:b/>
                <w:i/>
                <w:sz w:val="12"/>
                <w:szCs w:val="12"/>
                <w:lang w:val="pt-BR"/>
              </w:rPr>
            </w:pPr>
            <w:r w:rsidRPr="00E72167">
              <w:rPr>
                <w:rFonts w:ascii="GHEA Grapalat" w:hAnsi="GHEA Grapalat"/>
                <w:b/>
                <w:i/>
                <w:sz w:val="12"/>
                <w:szCs w:val="12"/>
                <w:lang w:val="pt-BR"/>
              </w:rPr>
              <w:t>ՀՎՀՀ 84511146</w:t>
            </w:r>
          </w:p>
          <w:p w:rsidR="007C3B01" w:rsidRPr="00E72167" w:rsidRDefault="007C3B01" w:rsidP="00DE576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</w:tr>
      <w:tr w:rsidR="007C3B01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7C65E9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7C3B01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7C3B01" w:rsidRDefault="007C3B01" w:rsidP="00C5087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7C3B01" w:rsidRDefault="007C3B01" w:rsidP="00C5087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7C3B01" w:rsidRPr="002D7799" w:rsidRDefault="007C3B01" w:rsidP="00C5087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7C3B01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7C3B01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7C3B01" w:rsidRPr="00D31737" w:rsidRDefault="007C3B01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C3B01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C3B01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7C3B01" w:rsidRPr="00D31737" w:rsidRDefault="007C3B01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CA0" w:rsidRDefault="001C1CA0">
      <w:r>
        <w:separator/>
      </w:r>
    </w:p>
  </w:endnote>
  <w:endnote w:type="continuationSeparator" w:id="1">
    <w:p w:rsidR="001C1CA0" w:rsidRDefault="001C1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87E" w:rsidRDefault="003C60D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087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087E" w:rsidRDefault="00C5087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87E" w:rsidRDefault="003C60D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087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4EBD">
      <w:rPr>
        <w:rStyle w:val="PageNumber"/>
        <w:noProof/>
      </w:rPr>
      <w:t>1</w:t>
    </w:r>
    <w:r>
      <w:rPr>
        <w:rStyle w:val="PageNumber"/>
      </w:rPr>
      <w:fldChar w:fldCharType="end"/>
    </w:r>
  </w:p>
  <w:p w:rsidR="00C5087E" w:rsidRDefault="00C5087E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CA0" w:rsidRDefault="001C1CA0">
      <w:r>
        <w:separator/>
      </w:r>
    </w:p>
  </w:footnote>
  <w:footnote w:type="continuationSeparator" w:id="1">
    <w:p w:rsidR="001C1CA0" w:rsidRDefault="001C1C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1D86E7A"/>
    <w:multiLevelType w:val="hybridMultilevel"/>
    <w:tmpl w:val="355C9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4"/>
  </w:num>
  <w:num w:numId="5">
    <w:abstractNumId w:val="39"/>
  </w:num>
  <w:num w:numId="6">
    <w:abstractNumId w:val="22"/>
  </w:num>
  <w:num w:numId="7">
    <w:abstractNumId w:val="35"/>
  </w:num>
  <w:num w:numId="8">
    <w:abstractNumId w:val="7"/>
  </w:num>
  <w:num w:numId="9">
    <w:abstractNumId w:val="23"/>
  </w:num>
  <w:num w:numId="10">
    <w:abstractNumId w:val="18"/>
  </w:num>
  <w:num w:numId="11">
    <w:abstractNumId w:val="14"/>
  </w:num>
  <w:num w:numId="12">
    <w:abstractNumId w:val="0"/>
  </w:num>
  <w:num w:numId="13">
    <w:abstractNumId w:val="31"/>
  </w:num>
  <w:num w:numId="14">
    <w:abstractNumId w:val="30"/>
  </w:num>
  <w:num w:numId="15">
    <w:abstractNumId w:val="10"/>
  </w:num>
  <w:num w:numId="16">
    <w:abstractNumId w:val="1"/>
  </w:num>
  <w:num w:numId="17">
    <w:abstractNumId w:val="6"/>
  </w:num>
  <w:num w:numId="18">
    <w:abstractNumId w:val="27"/>
  </w:num>
  <w:num w:numId="19">
    <w:abstractNumId w:val="32"/>
  </w:num>
  <w:num w:numId="20">
    <w:abstractNumId w:val="2"/>
  </w:num>
  <w:num w:numId="21">
    <w:abstractNumId w:val="28"/>
  </w:num>
  <w:num w:numId="22">
    <w:abstractNumId w:val="33"/>
  </w:num>
  <w:num w:numId="23">
    <w:abstractNumId w:val="9"/>
  </w:num>
  <w:num w:numId="24">
    <w:abstractNumId w:val="4"/>
  </w:num>
  <w:num w:numId="25">
    <w:abstractNumId w:val="38"/>
  </w:num>
  <w:num w:numId="26">
    <w:abstractNumId w:val="26"/>
  </w:num>
  <w:num w:numId="27">
    <w:abstractNumId w:val="12"/>
  </w:num>
  <w:num w:numId="28">
    <w:abstractNumId w:val="16"/>
  </w:num>
  <w:num w:numId="29">
    <w:abstractNumId w:val="37"/>
  </w:num>
  <w:num w:numId="30">
    <w:abstractNumId w:val="25"/>
  </w:num>
  <w:num w:numId="31">
    <w:abstractNumId w:val="25"/>
  </w:num>
  <w:num w:numId="32">
    <w:abstractNumId w:val="20"/>
  </w:num>
  <w:num w:numId="33">
    <w:abstractNumId w:val="40"/>
  </w:num>
  <w:num w:numId="34">
    <w:abstractNumId w:val="13"/>
  </w:num>
  <w:num w:numId="35">
    <w:abstractNumId w:val="17"/>
  </w:num>
  <w:num w:numId="36">
    <w:abstractNumId w:val="5"/>
  </w:num>
  <w:num w:numId="37">
    <w:abstractNumId w:val="21"/>
  </w:num>
  <w:num w:numId="38">
    <w:abstractNumId w:val="15"/>
  </w:num>
  <w:num w:numId="39">
    <w:abstractNumId w:val="36"/>
  </w:num>
  <w:num w:numId="40">
    <w:abstractNumId w:val="11"/>
  </w:num>
  <w:num w:numId="41">
    <w:abstractNumId w:val="8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734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82DBA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1CA0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3CD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6946"/>
    <w:rsid w:val="003A4051"/>
    <w:rsid w:val="003B24BE"/>
    <w:rsid w:val="003B2BED"/>
    <w:rsid w:val="003C0293"/>
    <w:rsid w:val="003C60DB"/>
    <w:rsid w:val="003D5271"/>
    <w:rsid w:val="003D5480"/>
    <w:rsid w:val="003E125D"/>
    <w:rsid w:val="003E28B5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5967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6C86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2362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BF4EBD"/>
    <w:rsid w:val="00C0360D"/>
    <w:rsid w:val="00C04BBE"/>
    <w:rsid w:val="00C1483D"/>
    <w:rsid w:val="00C14C7C"/>
    <w:rsid w:val="00C225E2"/>
    <w:rsid w:val="00C23AF4"/>
    <w:rsid w:val="00C23C91"/>
    <w:rsid w:val="00C3076E"/>
    <w:rsid w:val="00C34EC1"/>
    <w:rsid w:val="00C45D30"/>
    <w:rsid w:val="00C5087E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B5A4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262FF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67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17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uiPriority w:val="99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link w:val="Heading2"/>
    <w:rsid w:val="00E72167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9738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5</cp:revision>
  <cp:lastPrinted>2014-08-28T10:57:00Z</cp:lastPrinted>
  <dcterms:created xsi:type="dcterms:W3CDTF">2015-04-10T11:47:00Z</dcterms:created>
  <dcterms:modified xsi:type="dcterms:W3CDTF">2016-02-29T06:21:00Z</dcterms:modified>
</cp:coreProperties>
</file>