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A44229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746949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ՇՐՋԱՆԱԿԱՅԻՆ</w:t>
      </w:r>
      <w:r w:rsidRPr="001218DD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ՀԱՄԱՁԱՅՆԱԳՐՈՎ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ՍՊ- ՇՀ</w:t>
      </w:r>
      <w:r w:rsidR="0007404B">
        <w:rPr>
          <w:rFonts w:ascii="Sylfaen" w:hAnsi="Sylfaen" w:cs="Sylfaen"/>
          <w:sz w:val="24"/>
          <w:szCs w:val="24"/>
          <w:lang w:val="af-ZA"/>
        </w:rPr>
        <w:t>Ծ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ՁԲ-15/</w:t>
      </w:r>
      <w:r w:rsidR="0007404B">
        <w:rPr>
          <w:rFonts w:ascii="Sylfaen" w:hAnsi="Sylfaen" w:cs="Sylfaen"/>
          <w:sz w:val="24"/>
          <w:szCs w:val="24"/>
          <w:lang w:val="af-ZA"/>
        </w:rPr>
        <w:t>9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07404B" w:rsidRPr="00C77800">
        <w:rPr>
          <w:rFonts w:ascii="Sylfaen" w:hAnsi="Sylfaen" w:cs="Sylfaen"/>
          <w:sz w:val="24"/>
          <w:szCs w:val="24"/>
          <w:lang w:val="af-ZA"/>
        </w:rPr>
        <w:t>ՍՊ- ՇՀ</w:t>
      </w:r>
      <w:r w:rsidR="0007404B">
        <w:rPr>
          <w:rFonts w:ascii="Sylfaen" w:hAnsi="Sylfaen" w:cs="Sylfaen"/>
          <w:sz w:val="24"/>
          <w:szCs w:val="24"/>
          <w:lang w:val="af-ZA"/>
        </w:rPr>
        <w:t>Ծ</w:t>
      </w:r>
      <w:r w:rsidR="0007404B" w:rsidRPr="00C77800">
        <w:rPr>
          <w:rFonts w:ascii="Sylfaen" w:hAnsi="Sylfaen" w:cs="Sylfaen"/>
          <w:sz w:val="24"/>
          <w:szCs w:val="24"/>
          <w:lang w:val="af-ZA"/>
        </w:rPr>
        <w:t>ՁԲ-15/</w:t>
      </w:r>
      <w:r w:rsidR="0007404B">
        <w:rPr>
          <w:rFonts w:ascii="Sylfaen" w:hAnsi="Sylfaen" w:cs="Sylfaen"/>
          <w:sz w:val="24"/>
          <w:szCs w:val="24"/>
          <w:lang w:val="af-ZA"/>
        </w:rPr>
        <w:t>9</w:t>
      </w:r>
      <w:r w:rsidRPr="00A44229">
        <w:rPr>
          <w:rFonts w:ascii="Sylfaen" w:hAnsi="Sylfaen"/>
          <w:szCs w:val="24"/>
          <w:lang w:val="af-ZA"/>
        </w:rPr>
        <w:t xml:space="preserve">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2BE0" w:rsidRPr="00A44229" w:rsidTr="0057099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052BE0" w:rsidRPr="00A44229" w:rsidTr="0057099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57099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5934EF" w:rsidTr="001546AE">
        <w:trPr>
          <w:trHeight w:val="218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07404B" w:rsidRPr="001D0E03" w:rsidRDefault="0007404B" w:rsidP="001546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0E0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7404B" w:rsidRDefault="0007404B" w:rsidP="001546A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Համակարգչային</w:t>
            </w:r>
            <w:proofErr w:type="spellEnd"/>
            <w:r w:rsidRPr="00543A7C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07404B" w:rsidRPr="00543A7C" w:rsidRDefault="0007404B" w:rsidP="001546A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սարքերի պահպանման և վերանորոգման </w:t>
            </w:r>
            <w:r w:rsidRPr="00CB3B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ծառայություն</w:t>
            </w:r>
            <w:proofErr w:type="spellEnd"/>
            <w:r w:rsidRPr="00543A7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04B" w:rsidRPr="0007404B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404B" w:rsidRDefault="0007404B" w:rsidP="001546A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07404B" w:rsidRDefault="0007404B" w:rsidP="0007404B">
            <w:pPr>
              <w:rPr>
                <w:rFonts w:ascii="Sylfaen" w:hAnsi="Sylfaen"/>
                <w:sz w:val="18"/>
                <w:szCs w:val="18"/>
              </w:rPr>
            </w:pPr>
          </w:p>
          <w:p w:rsidR="0007404B" w:rsidRPr="0007404B" w:rsidRDefault="0007404B" w:rsidP="0007404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404B" w:rsidRDefault="0007404B" w:rsidP="001546A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07404B" w:rsidRDefault="0007404B" w:rsidP="0007404B">
            <w:pPr>
              <w:rPr>
                <w:rFonts w:ascii="Sylfaen" w:hAnsi="Sylfaen"/>
                <w:sz w:val="18"/>
                <w:szCs w:val="18"/>
              </w:rPr>
            </w:pPr>
          </w:p>
          <w:p w:rsidR="0007404B" w:rsidRPr="0007404B" w:rsidRDefault="0007404B" w:rsidP="0007404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404B" w:rsidRPr="0007404B" w:rsidRDefault="0007404B" w:rsidP="001546A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07404B" w:rsidRPr="0007404B" w:rsidRDefault="0007404B" w:rsidP="001546A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07404B" w:rsidRPr="0007404B" w:rsidRDefault="0007404B" w:rsidP="001546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7404B">
              <w:rPr>
                <w:rFonts w:ascii="Sylfaen" w:hAnsi="Sylfaen"/>
                <w:sz w:val="18"/>
                <w:szCs w:val="18"/>
              </w:rPr>
              <w:t>1 359 000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7404B" w:rsidRPr="0007404B" w:rsidRDefault="0007404B" w:rsidP="001546A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07404B" w:rsidRPr="0007404B" w:rsidRDefault="0007404B" w:rsidP="001546A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07404B" w:rsidRPr="0007404B" w:rsidRDefault="0007404B" w:rsidP="001546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7404B">
              <w:rPr>
                <w:rFonts w:ascii="Sylfaen" w:hAnsi="Sylfaen"/>
                <w:sz w:val="18"/>
                <w:szCs w:val="18"/>
              </w:rPr>
              <w:t>1 359 000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MB փոխարինում՝  ներառյալ Ասուս Ինտել 31 չիպսեթ, ՊՍԻ-Էքսպ (ASUS Intel 31 chipset, PCI-Exp)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Նոթբուկ համակարգչի MB նորոգում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Նոթբուկ համակարգչի MB փոխարինում ներառյալ համապատասխան MB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CPU փոխարինում՝  ներառյալ Քորե 2 Դուօ Ե7300 (2.66 ԳՀց), 1066 ՄՀց (Core 2 Duo E7300 (2.66G Hz), 1066 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RAM փոխարինում՝  ներառյալ ԴԴՌ1 1024Մ 400ՄՀՑ (DDR1 1024M 400MHZ)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Անձնական համակարգչի RAM փոխարինում՝  ներառյալ ԴԴՌ2 1024Մ 667/800ՄՀՑ (DDR2 1024M 667/800MHZ) կամ </w:t>
            </w: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 RAM փոխարինում՝  ներառյալ ԴԴՌ3  1024Մ 1333ՄՀՑ (DDR3 1024M 1333MHZ)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RAM փոխարինում՝  ներառյալ ԴԴՌ3  2048Մ 1333ՄՀՑ (DDR3 2048M 1333MHZ)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RAM փոխարինում՝  ներառյալ ԴԴՌ3  4ԳԲ 1333ՄՀՑ (DDR3 4ԳԲ 1333MHZ)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SVGA փոխարինում՝  ներառյալ Նվիդիա ՋիՖ ՋիՏի 1 Գբ ՊիՍիԱյ-Էքսպ (Nvidia GF GT 1Gb PCI Exp)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Նոթբուկ համակարգչի RAM փոխարինում՝  ներառյալ ԴԴՌ2 1024Մ 667/800ՄՀՑ(DDR2 1024M 667/800MHZ)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Նոթբուկ համակարգչի RAM փոխարինում՝  ներառյալ ԴԴՌ3 2048Մ 1333ՄՀՑ(DDR3 2048M 1333MHZ)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HDD փոխարինում, ներառյալ ՀԴ 500 գբ ՍԱՏԱ, 7200 ռպմ (HDD 500 Gb SATA, 7200 rpm)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Նոթբուկ համակարգչի HDD փոխարինում՝  ներառյալ ՀԴ 500 գբ ՍԱՏԱ, 7200 ռպմ (HDD 500 Gb SATA, 7200 rpm) կամ համարժեք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DVD-RW փոխարինում՝  ներառյալ ԴՎԴ-ՌՎ(DVD-RW)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Սնուցման բլոկի փոխարինում՝  ներառյալ սնուցման բլոկ Պ4 պահարանի համար 450 Վտ (Power supply unit for P4 Case 450w)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ԼՍԴ-ի լամպի փոխարինում՝  ներառյալ լամպը 17”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ԼՍԴ-ի լամպի փոխարինում՝  ներառյալ լամպը 19”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ԼՍԴ-ի մոնիտորի լուսավորման համակարգի վերանորոգում`  ներառյալ համապատասխան պահեստամասեր  17”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ԼՍԴ-ի մոնիտորի լուսավորման համակարգի վերանորոգում՝  ներառյալ համապատասխան պահեստամասեր 19”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Մարտկոցի փոխարինում՝  ներառյալ մարտկոցը 12Վ/17Ա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Ռելեների փոխարինում՝  ներառյալ ռելեներ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Սկաների պրոֆիլակտիկա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Վերանորոգում  պահեստամասերով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Լամպի փոխարինում՝  ներառյալ լամպը Ա4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Սվիչի տեղադրում՝ ներառյալ սվիչ տեղադրում, ներառյալ սվիչ 10/100/1000 16 պորտ Դ-Լինկ (D-LINK SWITCH 10/100/1000 16 PORT)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Մալուխի անցկացում՝ ներառյալ մալուխի գինը (գծամետր)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Լիցքավորում լազերային տպիչների՝ ներառյալ տոները ՀՊ ԼՋ 1100, 1012, 1015, 1018, 1020, 3015, 3020, 3030, 3050, 3050z, 3052, 355 M1005mfp, Q2612A (Քենոն 303/703) HP 1320, Canon i-sensys LBP6300dn (Քենոն 719)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Վառարանի թերմոթաղանթի փոխարինում՝  ներառյալ թերմոթաղանթ (HP/Canon կամ համարժեքը)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Թմբուկի փոխարինում առանց լիցքավորման՝  ներառյալ թմբուկ ՀՊ ԼՋ 1100, 1012, 1015, 1018, 1020, 3015, 3020, 3030, 3050, 3050z, 3052, 355 M1005mfp, Q2612A (Քենոն 303/703) HP 1320, Canon i-sensys LBP6300dn (Քենոն 719)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Թղթի մատուցման ռետինե լիսեռի փոխարինում՝  ներառյալ թղթի տրման ռետինե լիսեռ (HP LJ, Canon LBP կամ համարժեքը)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Լազերային տպիչի պրոֆիլակտիկա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Վառարանի վերանորոգում՝  նեռարյալ պահեստամասեր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Լազերային բլոկի վերանորոգում՝  ներառյալ պահեստամասեր</w:t>
            </w:r>
          </w:p>
          <w:p w:rsid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Լազերային բլոկի փոխարինում՝  ներառյալ լազերային բլոկ</w:t>
            </w:r>
          </w:p>
          <w:p w:rsidR="0007404B" w:rsidRPr="00904A95" w:rsidRDefault="0007404B" w:rsidP="001546A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Անձնական համակարգչի MB փոխարինում՝  ներառյալ Ասուս Ինտել 31 չիպսեթ, ՊՍԻ-Էքսպ (ASUS Intel 31 chipset, PCI-Exp)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Նոթբուկ համակարգչի MB նորոգում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Նոթբուկ համակարգչի MB փոխարինում ներառյալ համապատասխան MB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CPU փոխարինում՝  ներառյալ Քորե 2 Դուօ Ե7300 (2.66 ԳՀց), 1066 ՄՀց (Core 2 Duo E7300 (2.66G Hz), 1066 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RAM փոխարինում՝  ներառյալ ԴԴՌ1 1024Մ 400ՄՀՑ (DDR1 1024M 400MHZ)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Անձնական համակարգչի RAM </w:t>
            </w: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փոխարինում՝  ներառյալ ԴԴՌ2 1024Մ 667/800ՄՀՑ (DDR2 1024M 667/800MHZ)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 RAM փոխարինում՝  ներառյալ ԴԴՌ3  1024Մ 1333ՄՀՑ (DDR3 1024M 1333MHZ)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RAM փոխարինում՝  ներառյալ ԴԴՌ3  2048Մ 1333ՄՀՑ (DDR3 2048M 1333MHZ)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RAM փոխարինում՝  ներառյալ ԴԴՌ3  4ԳԲ 1333ՄՀՑ (DDR3 4ԳԲ 1333MHZ)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SVGA փոխարինում՝  ներառյալ Նվիդիա ՋիՖ ՋիՏի 1 Գբ ՊիՍիԱյ-Էքսպ (Nvidia GF GT 1Gb PCI Exp)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Նոթբուկ համակարգչի RAM փոխարինում՝  ներառյալ ԴԴՌ2 1024Մ 667/800ՄՀՑ(DDR2 1024M 667/800MHZ)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Նոթբուկ համակարգչի RAM փոխարինում՝  ներառյալ ԴԴՌ3 2048Մ 1333ՄՀՑ(DDR3 2048M 1333MHZ)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Անձնական համակարգչի HDD փոխարինում, ներառյալ ՀԴ 500 գբ ՍԱՏԱ, 7200 ռպմ (HDD 500 Gb SATA, 7200 rpm)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Նոթբուկ համակարգչի HDD փոխարինում՝  ներառյալ ՀԴ 500 գբ ՍԱՏԱ, 7200 ռպմ (HDD 500 Gb SATA, 7200 rpm) կամ համարժեք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DVD-RW փոխարինում՝  ներառյալ ԴՎԴ-ՌՎ(DVD-RW)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Սնուցման բլոկի փոխարինում՝  ներառյալ սնուցման բլոկ Պ4 պահարանի համար 450 Վտ (Power supply unit for P4 Case 450w)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ԼՍԴ-ի լամպի փոխարինում՝  ներառյալ լամպը 17”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ԼՍԴ-ի լամպի փոխարինում՝  ներառյալ լամպը 19”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ԼՍԴ-ի մոնիտորի </w:t>
            </w: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լուսավորման համակարգի վերանորոգում`  ներառյալ համապատասխան պահեստամասեր  17”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ԼՍԴ-ի մոնիտորի լուսավորման համակարգի վերանորոգում՝  ներառյալ համապատասխան պահեստամասեր 19”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Մարտկոցի փոխարինում՝  ներառյալ մարտկոցը 12Վ/17Ա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Ռելեների փոխարինում՝  ներառյալ ռելեներ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Սկաների պրոֆիլակտիկա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Վերանորոգում  պահեստամասերով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Լամպի փոխարինում՝  ներառյալ լամպը Ա4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Սվիչի տեղադրում՝ ներառյալ սվիչ տեղադրում, ներառյալ սվիչ 10/100/1000 16 պորտ Դ-Լինկ (D-LINK SWITCH 10/100/1000 16 PORT) կամ համարժեքը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Մալուխի անցկացում՝ ներառյալ մալուխի գինը (գծամետր)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Լիցքավորում լազերային տպիչների՝ ներառյալ տոները ՀՊ ԼՋ 1100, 1012, 1015, 1018, 1020, 3015, 3020, 3030, 3050, 3050z, 3052, 355 M1005mfp, Q2612A (Քենոն 303/703) HP 1320, Canon i-sensys LBP6300dn (Քենոն 719)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Վառարանի թերմոթաղանթի փոխարինում՝  ներառյալ թերմոթաղանթ (HP/Canon կամ համարժեքը)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Թմբուկի փոխարինում առանց լիցքավորման՝  ներառյալ թմբուկ ՀՊ ԼՋ 1100, 1012, 1015, 1018, 1020, 3015, 3020, 3030, 3050, 3050z, 3052, 355 M1005mfp, Q2612A (Քենոն 303/703) HP 1320, Canon i-sensys LBP6300dn (Քենոն 719)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Թղթի մատուցման ռետինե լիսեռի փոխարինում՝  ներառյալ թղթի տրման ռետինե լիսեռ (HP LJ, Canon LBP կամ համարժեքը)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Լազերային տպիչի պրոֆիլակտիկա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Վառարանի վերանորոգում՝  նեռարյալ պահեստամասեր</w:t>
            </w:r>
          </w:p>
          <w:p w:rsidR="0007404B" w:rsidRP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Լազերային բլոկի </w:t>
            </w: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վերանորոգում՝  ներառյալ պահեստամասեր</w:t>
            </w:r>
          </w:p>
          <w:p w:rsidR="0007404B" w:rsidRDefault="0007404B" w:rsidP="0007404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7404B">
              <w:rPr>
                <w:rFonts w:ascii="GHEA Grapalat" w:hAnsi="GHEA Grapalat" w:cs="Sylfaen"/>
                <w:sz w:val="16"/>
                <w:szCs w:val="16"/>
                <w:lang w:val="af-ZA"/>
              </w:rPr>
              <w:t>Լազերային բլոկի փոխարինում՝  ներառյալ լազերային բլոկ</w:t>
            </w:r>
          </w:p>
          <w:p w:rsidR="0007404B" w:rsidRPr="0007404B" w:rsidRDefault="0007404B" w:rsidP="001546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7404B" w:rsidRPr="005934EF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C77800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7404B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ՀՀ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հոդ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. 4-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կետ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7404B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07404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փետրվարի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10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C7780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404B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7404B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</w:tr>
      <w:tr w:rsidR="0007404B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7404B" w:rsidRPr="00C77800" w:rsidRDefault="005D2238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«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Այ Սերվիս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» ՍՊԸ</w:t>
            </w:r>
            <w:r w:rsidRPr="00474705">
              <w:rPr>
                <w:rFonts w:ascii="Courier New" w:hAnsi="Courier New" w:cs="Courier New"/>
                <w:b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7404B" w:rsidRPr="005D2238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830 700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7404B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830 700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7404B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7404B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7404B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830 700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07404B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830 700</w:t>
            </w:r>
          </w:p>
        </w:tc>
      </w:tr>
      <w:tr w:rsidR="005D2238" w:rsidRPr="00C77800" w:rsidTr="00343CCC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D2238" w:rsidRDefault="005D2238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Բևեռային ուղի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ՍՊ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Ը</w:t>
            </w:r>
            <w:r w:rsidRPr="00474705">
              <w:rPr>
                <w:rFonts w:ascii="Courier New" w:hAnsi="Courier New" w:cs="Courier New"/>
                <w:b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819 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819 250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163 850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2238" w:rsidRPr="005D2238" w:rsidRDefault="005D2238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163 850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2238" w:rsidRPr="005D2238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983 100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5D2238" w:rsidRPr="005D2238" w:rsidRDefault="005D2238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983 100</w:t>
            </w:r>
          </w:p>
        </w:tc>
      </w:tr>
      <w:tr w:rsidR="005D2238" w:rsidRPr="00C77800" w:rsidTr="00343CCC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D2238" w:rsidRDefault="005D2238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Գրիգոր Այվազյան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Ա/Ձ</w:t>
            </w:r>
            <w:r w:rsidRPr="00474705">
              <w:rPr>
                <w:rFonts w:ascii="Courier New" w:hAnsi="Courier New" w:cs="Courier New"/>
                <w:b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1 298 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1 298 000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2238" w:rsidRPr="005D2238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1 298 000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5D2238" w:rsidRPr="005D2238" w:rsidRDefault="005D2238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1 298 000</w:t>
            </w:r>
          </w:p>
        </w:tc>
      </w:tr>
      <w:tr w:rsidR="005D2238" w:rsidRPr="00C77800" w:rsidTr="00343CCC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D2238" w:rsidRDefault="005D2238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Անուշ Պետրոսյան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Ա/Ձ</w:t>
            </w:r>
            <w:r w:rsidRPr="00474705">
              <w:rPr>
                <w:rFonts w:ascii="Courier New" w:hAnsi="Courier New" w:cs="Courier New"/>
                <w:b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938 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938 500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2238" w:rsidRPr="005D2238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938 500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5D2238" w:rsidRPr="005D2238" w:rsidRDefault="005D2238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938 500</w:t>
            </w:r>
          </w:p>
        </w:tc>
      </w:tr>
      <w:tr w:rsidR="005D2238" w:rsidRPr="00C77800" w:rsidTr="00343CCC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D2238" w:rsidRDefault="005D2238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Սեգ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ՍՊ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Ը</w:t>
            </w:r>
            <w:r w:rsidRPr="00474705">
              <w:rPr>
                <w:rFonts w:ascii="Courier New" w:hAnsi="Courier New" w:cs="Courier New"/>
                <w:b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1 351 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1 351 300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2238" w:rsidRPr="005D2238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1 351 300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5D2238" w:rsidRPr="005D2238" w:rsidRDefault="005D2238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1 351 300</w:t>
            </w:r>
          </w:p>
        </w:tc>
      </w:tr>
      <w:tr w:rsidR="005D2238" w:rsidRPr="00C77800" w:rsidTr="00343CCC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2238" w:rsidRPr="005D2238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D2238" w:rsidRDefault="005D2238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Պատրոն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ՍՊ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Ը</w:t>
            </w:r>
            <w:r w:rsidRPr="00474705">
              <w:rPr>
                <w:rFonts w:ascii="Courier New" w:hAnsi="Courier New" w:cs="Courier New"/>
                <w:b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143 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00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D2238">
              <w:rPr>
                <w:rFonts w:ascii="Sylfaen" w:hAnsi="Sylfaen"/>
                <w:b/>
                <w:sz w:val="14"/>
                <w:szCs w:val="14"/>
              </w:rPr>
              <w:t>միավորի</w:t>
            </w:r>
            <w:proofErr w:type="spellEnd"/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D2238">
              <w:rPr>
                <w:rFonts w:ascii="Sylfaen" w:hAnsi="Sylfaen"/>
                <w:b/>
                <w:sz w:val="14"/>
                <w:szCs w:val="14"/>
              </w:rPr>
              <w:t>արժեք</w:t>
            </w:r>
            <w:proofErr w:type="spellEnd"/>
            <w:r w:rsidRPr="005D2238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2238" w:rsidRPr="005D2238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143 600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D2238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D2238" w:rsidRPr="00C47CFF" w:rsidRDefault="005D2238" w:rsidP="005D2238">
            <w:pPr>
              <w:widowControl w:val="0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28 720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D2238" w:rsidRDefault="005D2238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D2238" w:rsidRPr="00C47CFF" w:rsidRDefault="005D2238" w:rsidP="009E3CFF">
            <w:pPr>
              <w:widowControl w:val="0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28 720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D2238" w:rsidRPr="005D2238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172 320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5D2238" w:rsidRPr="005D2238" w:rsidRDefault="005D2238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172 320</w:t>
            </w:r>
          </w:p>
        </w:tc>
      </w:tr>
      <w:tr w:rsidR="005D2238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E15817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5934EF" w:rsidTr="001546AE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5934EF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947613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D2238" w:rsidRPr="005934EF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5D2238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D2238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Պատրոն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ՍՊ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Ը</w:t>
            </w:r>
            <w:r w:rsidRPr="00474705">
              <w:rPr>
                <w:rFonts w:ascii="Courier New" w:hAnsi="Courier New" w:cs="Courier New"/>
                <w:b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D2238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</w:p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</w:rPr>
              <w:t>(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ընկերությունը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ներկայացրել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էր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ծառայության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մատուցման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համար</w:t>
            </w:r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D2238">
              <w:rPr>
                <w:rFonts w:ascii="Sylfaen" w:hAnsi="Sylfaen"/>
                <w:b/>
                <w:sz w:val="14"/>
                <w:szCs w:val="14"/>
              </w:rPr>
              <w:t>միավորի</w:t>
            </w:r>
            <w:proofErr w:type="spellEnd"/>
            <w:r w:rsidRPr="005D223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D2238">
              <w:rPr>
                <w:rFonts w:ascii="Sylfaen" w:hAnsi="Sylfaen"/>
                <w:b/>
                <w:sz w:val="14"/>
                <w:szCs w:val="14"/>
              </w:rPr>
              <w:t>արժեք</w:t>
            </w:r>
            <w:proofErr w:type="spellEnd"/>
            <w:r w:rsidRPr="005D2238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5D2238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5D2238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26.02.2016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01.03.2016</w:t>
            </w:r>
          </w:p>
        </w:tc>
      </w:tr>
      <w:tr w:rsidR="005D2238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70405" w:rsidRDefault="005D2238" w:rsidP="00570993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02.03.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</w:tr>
      <w:tr w:rsidR="005D2238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934EF" w:rsidRDefault="005D2238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934E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934EF" w:rsidRDefault="005934EF" w:rsidP="005934EF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03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5D2238" w:rsidRPr="005934E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</w:t>
            </w:r>
          </w:p>
        </w:tc>
      </w:tr>
      <w:tr w:rsidR="005D2238" w:rsidRPr="005D2238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947613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2.03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 </w:t>
            </w: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  </w:t>
            </w:r>
          </w:p>
        </w:tc>
      </w:tr>
      <w:tr w:rsidR="005D2238" w:rsidRPr="005D2238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D2238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5D2238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D2238" w:rsidRPr="003E078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փ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D2238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D2238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D2238" w:rsidRPr="005D2238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5D2238" w:rsidRPr="00A44229" w:rsidRDefault="005D2238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5D2238" w:rsidRPr="00C77800" w:rsidRDefault="005D2238" w:rsidP="001546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Բևեռային ուղի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ՍՊ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Ը</w:t>
            </w:r>
            <w:r w:rsidRPr="00474705">
              <w:rPr>
                <w:rFonts w:ascii="Courier New" w:hAnsi="Courier New" w:cs="Courier New"/>
                <w:b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D2238" w:rsidRPr="00A44229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ՇՀԾ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9-101-2016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02.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03</w:t>
            </w: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D2238" w:rsidRPr="005D2238" w:rsidRDefault="005D2238" w:rsidP="001546AE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983 100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983 100</w:t>
            </w:r>
          </w:p>
        </w:tc>
      </w:tr>
      <w:tr w:rsidR="005D2238" w:rsidRPr="005D2238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5D2238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D2238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D2238" w:rsidRPr="00FE30AA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3E0783" w:rsidRDefault="005D2238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E06423" w:rsidRDefault="005D2238" w:rsidP="00FE30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Բևեռային ուղի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ՍՊ</w:t>
            </w:r>
            <w:r w:rsidRPr="00474705"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>Ը</w:t>
            </w:r>
            <w:r w:rsidRPr="00474705">
              <w:rPr>
                <w:rFonts w:ascii="Courier New" w:hAnsi="Courier New" w:cs="Courier New"/>
                <w:b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E30AA" w:rsidRDefault="005D2238" w:rsidP="005D22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ք. Երևան, Մանանդյան</w:t>
            </w:r>
            <w:r w:rsidR="0088391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25 6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8259F5" w:rsidRDefault="005D2238" w:rsidP="0088391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883919">
              <w:rPr>
                <w:rFonts w:ascii="Sylfaen" w:hAnsi="Sylfaen"/>
                <w:b/>
                <w:sz w:val="14"/>
                <w:szCs w:val="14"/>
              </w:rPr>
              <w:t>beverayin.ughi@yahoo.com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8259F5" w:rsidRDefault="005D2238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8259F5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  <w:t xml:space="preserve"> </w:t>
            </w:r>
            <w:r w:rsidRPr="008259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 w:rsidR="0088391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1810052083823312</w:t>
            </w:r>
          </w:p>
          <w:p w:rsidR="005D2238" w:rsidRPr="00A44229" w:rsidRDefault="005D2238" w:rsidP="004B265E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8259F5" w:rsidRDefault="005D2238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 w:rsidR="0088391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02228306</w:t>
            </w:r>
          </w:p>
          <w:p w:rsidR="005D2238" w:rsidRPr="00A44229" w:rsidRDefault="005D2238" w:rsidP="00FA0B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2238" w:rsidRPr="005934E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D2238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2238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D2238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5D2238" w:rsidRPr="005F477A" w:rsidRDefault="005D2238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Մ.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Ճաղարյան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D2238" w:rsidRPr="00A44229" w:rsidRDefault="005D2238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5D2238" w:rsidRPr="00A44229" w:rsidRDefault="005D2238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FD267D">
                <w:rPr>
                  <w:rStyle w:val="Hyperlink"/>
                  <w:rFonts w:ascii="Sylfaen" w:hAnsi="Sylfaen"/>
                  <w:b/>
                  <w:sz w:val="14"/>
                  <w:szCs w:val="14"/>
                  <w:lang w:val="ru-RU"/>
                </w:rPr>
                <w:t>mane.tshagharyan@msy.am</w:t>
              </w:r>
            </w:hyperlink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614AB" w:rsidRPr="00A44229" w:rsidRDefault="00052BE0" w:rsidP="005934EF">
      <w:pPr>
        <w:pStyle w:val="BodyTextIndent3"/>
        <w:spacing w:after="240" w:line="360" w:lineRule="auto"/>
        <w:ind w:firstLine="709"/>
        <w:rPr>
          <w:rFonts w:ascii="Sylfaen" w:hAnsi="Sylfaen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</w:rPr>
        <w:t>սպորտի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երիտասարդության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C6" w:rsidRDefault="00605EC6" w:rsidP="00052BE0">
      <w:pPr>
        <w:spacing w:after="0" w:line="240" w:lineRule="auto"/>
      </w:pPr>
      <w:r>
        <w:separator/>
      </w:r>
    </w:p>
  </w:endnote>
  <w:endnote w:type="continuationSeparator" w:id="0">
    <w:p w:rsidR="00605EC6" w:rsidRDefault="00605EC6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A31D81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A31D81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34EF">
      <w:rPr>
        <w:rStyle w:val="PageNumber"/>
        <w:noProof/>
      </w:rPr>
      <w:t>6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C6" w:rsidRDefault="00605EC6" w:rsidP="00052BE0">
      <w:pPr>
        <w:spacing w:after="0" w:line="240" w:lineRule="auto"/>
      </w:pPr>
      <w:r>
        <w:separator/>
      </w:r>
    </w:p>
  </w:footnote>
  <w:footnote w:type="continuationSeparator" w:id="0">
    <w:p w:rsidR="00605EC6" w:rsidRDefault="00605EC6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404B" w:rsidRPr="00EB00B9" w:rsidRDefault="0007404B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404B" w:rsidRPr="00C868EC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2238" w:rsidRPr="00871366" w:rsidRDefault="005D2238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D2238" w:rsidRPr="002D0BF6" w:rsidRDefault="005D2238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23F4"/>
    <w:rsid w:val="00036570"/>
    <w:rsid w:val="00052BE0"/>
    <w:rsid w:val="0007404B"/>
    <w:rsid w:val="000812CC"/>
    <w:rsid w:val="000842CF"/>
    <w:rsid w:val="00094F4D"/>
    <w:rsid w:val="000A074B"/>
    <w:rsid w:val="000A10A7"/>
    <w:rsid w:val="000A5454"/>
    <w:rsid w:val="000C3AC3"/>
    <w:rsid w:val="000E2645"/>
    <w:rsid w:val="000E4FE6"/>
    <w:rsid w:val="000F7106"/>
    <w:rsid w:val="00112E34"/>
    <w:rsid w:val="001218DD"/>
    <w:rsid w:val="00121CA8"/>
    <w:rsid w:val="00137483"/>
    <w:rsid w:val="00152D55"/>
    <w:rsid w:val="001546AE"/>
    <w:rsid w:val="00155998"/>
    <w:rsid w:val="001614AB"/>
    <w:rsid w:val="00166157"/>
    <w:rsid w:val="00195850"/>
    <w:rsid w:val="001D66B0"/>
    <w:rsid w:val="00205BF8"/>
    <w:rsid w:val="00211DF2"/>
    <w:rsid w:val="00212437"/>
    <w:rsid w:val="00215150"/>
    <w:rsid w:val="00233595"/>
    <w:rsid w:val="002346E4"/>
    <w:rsid w:val="00287DFF"/>
    <w:rsid w:val="002A6959"/>
    <w:rsid w:val="002E4CF6"/>
    <w:rsid w:val="00305CE0"/>
    <w:rsid w:val="00335C44"/>
    <w:rsid w:val="003534B5"/>
    <w:rsid w:val="003772B1"/>
    <w:rsid w:val="00385D28"/>
    <w:rsid w:val="00394ECE"/>
    <w:rsid w:val="003A1A98"/>
    <w:rsid w:val="003B059A"/>
    <w:rsid w:val="003B6B9C"/>
    <w:rsid w:val="003E0783"/>
    <w:rsid w:val="003E6784"/>
    <w:rsid w:val="00400639"/>
    <w:rsid w:val="004036C6"/>
    <w:rsid w:val="00431052"/>
    <w:rsid w:val="00434712"/>
    <w:rsid w:val="00451BD7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462FF"/>
    <w:rsid w:val="00560E39"/>
    <w:rsid w:val="00570993"/>
    <w:rsid w:val="005934EF"/>
    <w:rsid w:val="005A2DA4"/>
    <w:rsid w:val="005A512D"/>
    <w:rsid w:val="005B301A"/>
    <w:rsid w:val="005B39A9"/>
    <w:rsid w:val="005B3A22"/>
    <w:rsid w:val="005C62B5"/>
    <w:rsid w:val="005C7B6B"/>
    <w:rsid w:val="005D2238"/>
    <w:rsid w:val="005F477A"/>
    <w:rsid w:val="00605EC6"/>
    <w:rsid w:val="00613EAF"/>
    <w:rsid w:val="00616711"/>
    <w:rsid w:val="00636541"/>
    <w:rsid w:val="00644DEA"/>
    <w:rsid w:val="006A174D"/>
    <w:rsid w:val="006B7DCA"/>
    <w:rsid w:val="006C5534"/>
    <w:rsid w:val="006E35CC"/>
    <w:rsid w:val="006F2250"/>
    <w:rsid w:val="006F2263"/>
    <w:rsid w:val="00713533"/>
    <w:rsid w:val="007213A7"/>
    <w:rsid w:val="0073288E"/>
    <w:rsid w:val="00736447"/>
    <w:rsid w:val="00746949"/>
    <w:rsid w:val="00753C62"/>
    <w:rsid w:val="00756D7E"/>
    <w:rsid w:val="0077421D"/>
    <w:rsid w:val="007919FA"/>
    <w:rsid w:val="007A7D0B"/>
    <w:rsid w:val="007B6C19"/>
    <w:rsid w:val="007C5395"/>
    <w:rsid w:val="007F5278"/>
    <w:rsid w:val="008064B2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83919"/>
    <w:rsid w:val="008C224C"/>
    <w:rsid w:val="008D567D"/>
    <w:rsid w:val="008E5316"/>
    <w:rsid w:val="008F4097"/>
    <w:rsid w:val="00906537"/>
    <w:rsid w:val="009076D7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16349"/>
    <w:rsid w:val="00A22063"/>
    <w:rsid w:val="00A31D81"/>
    <w:rsid w:val="00A44229"/>
    <w:rsid w:val="00A65470"/>
    <w:rsid w:val="00A7026D"/>
    <w:rsid w:val="00A758ED"/>
    <w:rsid w:val="00A83DFB"/>
    <w:rsid w:val="00A9519A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D043BD"/>
    <w:rsid w:val="00D04A6E"/>
    <w:rsid w:val="00D26725"/>
    <w:rsid w:val="00D75945"/>
    <w:rsid w:val="00D92991"/>
    <w:rsid w:val="00DA1787"/>
    <w:rsid w:val="00DC4905"/>
    <w:rsid w:val="00E002D2"/>
    <w:rsid w:val="00E06423"/>
    <w:rsid w:val="00E14A3F"/>
    <w:rsid w:val="00E15817"/>
    <w:rsid w:val="00E3057E"/>
    <w:rsid w:val="00E669EA"/>
    <w:rsid w:val="00E76DFE"/>
    <w:rsid w:val="00E86100"/>
    <w:rsid w:val="00EA3FFB"/>
    <w:rsid w:val="00EC3326"/>
    <w:rsid w:val="00F00734"/>
    <w:rsid w:val="00F00CD7"/>
    <w:rsid w:val="00F33520"/>
    <w:rsid w:val="00F36083"/>
    <w:rsid w:val="00F70405"/>
    <w:rsid w:val="00F921FA"/>
    <w:rsid w:val="00FA0BBC"/>
    <w:rsid w:val="00FB71B4"/>
    <w:rsid w:val="00FC5832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ne.tshagharyan@ms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Mane.Tshagharyan</cp:lastModifiedBy>
  <cp:revision>3</cp:revision>
  <cp:lastPrinted>2015-05-25T07:02:00Z</cp:lastPrinted>
  <dcterms:created xsi:type="dcterms:W3CDTF">2015-12-18T08:33:00Z</dcterms:created>
  <dcterms:modified xsi:type="dcterms:W3CDTF">2016-03-03T07:37:00Z</dcterms:modified>
</cp:coreProperties>
</file>