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76B08">
        <w:rPr>
          <w:rFonts w:ascii="GHEA Grapalat" w:hAnsi="GHEA Grapalat" w:cs="Sylfaen"/>
          <w:b/>
          <w:szCs w:val="24"/>
          <w:lang w:val="pt-BR"/>
        </w:rPr>
        <w:t>380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44FF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D6F17">
        <w:rPr>
          <w:rFonts w:ascii="GHEA Grapalat" w:hAnsi="GHEA Grapalat" w:cs="Sylfaen"/>
          <w:szCs w:val="24"/>
          <w:lang w:val="pt-BR"/>
        </w:rPr>
        <w:t>Կամսար Գևորգյան Ա/Ձ</w:t>
      </w:r>
      <w:r w:rsidR="00E8347E">
        <w:rPr>
          <w:rFonts w:ascii="GHEA Grapalat" w:hAnsi="GHEA Grapalat" w:cs="Sylfaen"/>
          <w:szCs w:val="24"/>
          <w:lang w:val="pt-BR"/>
        </w:rPr>
        <w:t>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օրվան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հաջորդող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օրվա</w:t>
      </w:r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25439D">
        <w:rPr>
          <w:rFonts w:ascii="GHEA Grapalat" w:hAnsi="GHEA Grapalat" w:cs="Tahoma"/>
          <w:spacing w:val="-8"/>
          <w:szCs w:val="24"/>
        </w:rPr>
        <w:t>ընթացքում</w:t>
      </w:r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25439D">
        <w:rPr>
          <w:rFonts w:ascii="GHEA Grapalat" w:hAnsi="GHEA Grapalat"/>
          <w:szCs w:val="24"/>
        </w:rPr>
        <w:t>Վաճառողը</w:t>
      </w:r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25439D">
        <w:rPr>
          <w:rFonts w:ascii="GHEA Grapalat" w:hAnsi="GHEA Grapalat"/>
          <w:szCs w:val="24"/>
        </w:rPr>
        <w:t>ով</w:t>
      </w:r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76B0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952165" w:rsidRPr="0025439D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952165" w:rsidRPr="0025439D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A443A" w:rsidRPr="00E550F9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 w:rsidR="000D6F17">
              <w:rPr>
                <w:rFonts w:ascii="GHEA Grapalat" w:hAnsi="GHEA Grapalat"/>
                <w:szCs w:val="24"/>
                <w:lang w:val="pt-BR"/>
              </w:rPr>
              <w:t>գ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0D6F17">
              <w:rPr>
                <w:rFonts w:ascii="GHEA Grapalat" w:hAnsi="GHEA Grapalat"/>
                <w:szCs w:val="24"/>
                <w:lang w:val="pt-BR"/>
              </w:rPr>
              <w:t>Մարմարաշեն, Երևան-Արտաշատ խճ. 51</w:t>
            </w:r>
          </w:p>
          <w:p w:rsidR="001A443A" w:rsidRPr="00BB0461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>«</w:t>
            </w:r>
            <w:r w:rsidR="000D6F17">
              <w:rPr>
                <w:rFonts w:ascii="GHEA Grapalat" w:hAnsi="GHEA Grapalat" w:cs="Sylfaen"/>
                <w:szCs w:val="24"/>
              </w:rPr>
              <w:t>ՎՏԲ</w:t>
            </w:r>
            <w:r w:rsidR="000D6F17" w:rsidRPr="000D6F17">
              <w:rPr>
                <w:rFonts w:ascii="GHEA Grapalat" w:hAnsi="GHEA Grapalat" w:cs="Sylfaen"/>
                <w:szCs w:val="24"/>
                <w:lang w:val="pt-BR"/>
              </w:rPr>
              <w:t>-</w:t>
            </w:r>
            <w:r w:rsidR="000D6F17">
              <w:rPr>
                <w:rFonts w:ascii="GHEA Grapalat" w:hAnsi="GHEA Grapalat" w:cs="Sylfaen"/>
                <w:szCs w:val="24"/>
              </w:rPr>
              <w:t>Հայաստան</w:t>
            </w:r>
            <w:r w:rsidR="000D6F17" w:rsidRPr="000D6F1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0D6F17">
              <w:rPr>
                <w:rFonts w:ascii="GHEA Grapalat" w:hAnsi="GHEA Grapalat" w:cs="Sylfaen"/>
                <w:szCs w:val="24"/>
              </w:rPr>
              <w:t>բանկ</w:t>
            </w:r>
            <w:r w:rsidRPr="00E73957">
              <w:rPr>
                <w:rFonts w:ascii="GHEA Grapalat" w:hAnsi="GHEA Grapalat" w:cs="Sylfaen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szCs w:val="24"/>
              </w:rPr>
              <w:t>ՓԲԸ</w:t>
            </w:r>
            <w:r w:rsidR="00E8347E" w:rsidRPr="00E8347E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r w:rsidR="000D6F17">
              <w:rPr>
                <w:rFonts w:ascii="GHEA Grapalat" w:hAnsi="GHEA Grapalat" w:cs="Sylfaen"/>
                <w:szCs w:val="24"/>
                <w:lang w:val="pt-BR"/>
              </w:rPr>
              <w:t>Մասիս</w:t>
            </w:r>
            <w:r w:rsidR="00E8347E" w:rsidRPr="00E8347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E8347E">
              <w:rPr>
                <w:rFonts w:ascii="GHEA Grapalat" w:hAnsi="GHEA Grapalat" w:cs="Sylfaen"/>
                <w:szCs w:val="24"/>
              </w:rPr>
              <w:t>մ</w:t>
            </w:r>
            <w:r w:rsidR="00E8347E" w:rsidRPr="00E8347E">
              <w:rPr>
                <w:rFonts w:ascii="GHEA Grapalat" w:hAnsi="GHEA Grapalat" w:cs="Sylfaen"/>
                <w:szCs w:val="24"/>
                <w:lang w:val="pt-BR"/>
              </w:rPr>
              <w:t>/</w:t>
            </w:r>
            <w:r w:rsidR="00E8347E">
              <w:rPr>
                <w:rFonts w:ascii="GHEA Grapalat" w:hAnsi="GHEA Grapalat" w:cs="Sylfaen"/>
                <w:szCs w:val="24"/>
              </w:rPr>
              <w:t>ճ</w:t>
            </w:r>
          </w:p>
          <w:p w:rsidR="001A443A" w:rsidRPr="00DF0226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D6F17">
              <w:rPr>
                <w:rFonts w:ascii="GHEA Grapalat" w:hAnsi="GHEA Grapalat"/>
                <w:szCs w:val="24"/>
                <w:lang w:val="pt-BR"/>
              </w:rPr>
              <w:t>16026024357300</w:t>
            </w:r>
          </w:p>
          <w:p w:rsidR="001A443A" w:rsidRPr="00913F97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D6F17">
              <w:rPr>
                <w:rFonts w:ascii="GHEA Grapalat" w:hAnsi="GHEA Grapalat"/>
                <w:szCs w:val="24"/>
                <w:lang w:val="pt-BR"/>
              </w:rPr>
              <w:t>45129831</w:t>
            </w:r>
          </w:p>
          <w:p w:rsidR="001A443A" w:rsidRPr="00DF0226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D6F17">
              <w:rPr>
                <w:rFonts w:ascii="GHEA Grapalat" w:hAnsi="GHEA Grapalat"/>
                <w:szCs w:val="24"/>
                <w:lang w:val="pt-BR"/>
              </w:rPr>
              <w:t>kamokamo.82@mail.ru</w:t>
            </w:r>
          </w:p>
          <w:p w:rsidR="001A443A" w:rsidRPr="00913F97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B0461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BB0461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0D6F17">
              <w:rPr>
                <w:rFonts w:ascii="GHEA Grapalat" w:hAnsi="GHEA Grapalat"/>
                <w:szCs w:val="24"/>
                <w:lang w:val="pt-BR"/>
              </w:rPr>
              <w:t>667475</w:t>
            </w:r>
          </w:p>
          <w:p w:rsidR="001A443A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A443A" w:rsidRPr="00D517D2" w:rsidRDefault="001A443A" w:rsidP="001A443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517D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D517D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8460A" w:rsidRDefault="000D6F17" w:rsidP="001A443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="001A443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Գևորգ</w:t>
            </w:r>
            <w:r w:rsidR="001A443A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C76B08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6F17"/>
    <w:rsid w:val="000D7695"/>
    <w:rsid w:val="00102849"/>
    <w:rsid w:val="001120BF"/>
    <w:rsid w:val="00112597"/>
    <w:rsid w:val="00117F95"/>
    <w:rsid w:val="001315E0"/>
    <w:rsid w:val="001344FF"/>
    <w:rsid w:val="00142936"/>
    <w:rsid w:val="00150074"/>
    <w:rsid w:val="001A2780"/>
    <w:rsid w:val="001A443A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97C4A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C2979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A52FB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007B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2531C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44FF6"/>
    <w:rsid w:val="00C5258A"/>
    <w:rsid w:val="00C57916"/>
    <w:rsid w:val="00C64459"/>
    <w:rsid w:val="00C76B08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94B6B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D36"/>
    <w:rsid w:val="00E635C0"/>
    <w:rsid w:val="00E6490D"/>
    <w:rsid w:val="00E6761D"/>
    <w:rsid w:val="00E71918"/>
    <w:rsid w:val="00E8347E"/>
    <w:rsid w:val="00E94786"/>
    <w:rsid w:val="00E97EE2"/>
    <w:rsid w:val="00EA459D"/>
    <w:rsid w:val="00EB0A2A"/>
    <w:rsid w:val="00EB5677"/>
    <w:rsid w:val="00F45BE9"/>
    <w:rsid w:val="00F61713"/>
    <w:rsid w:val="00F66108"/>
    <w:rsid w:val="00F80E4D"/>
    <w:rsid w:val="00F85054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200</cp:revision>
  <cp:lastPrinted>2016-03-12T10:17:00Z</cp:lastPrinted>
  <dcterms:created xsi:type="dcterms:W3CDTF">2015-03-28T11:35:00Z</dcterms:created>
  <dcterms:modified xsi:type="dcterms:W3CDTF">2016-03-15T06:20:00Z</dcterms:modified>
</cp:coreProperties>
</file>