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E58" w:rsidRDefault="00414D9B" w:rsidP="00414D9B">
      <w:pPr>
        <w:pStyle w:val="Heading5"/>
        <w:tabs>
          <w:tab w:val="num" w:pos="1440"/>
        </w:tabs>
        <w:spacing w:before="0" w:beforeAutospacing="0" w:after="0" w:afterAutospacing="0"/>
        <w:ind w:left="1440" w:right="288" w:hanging="720"/>
        <w:jc w:val="center"/>
        <w:rPr>
          <w:rFonts w:eastAsia="Times New Roman"/>
          <w:sz w:val="24"/>
          <w:szCs w:val="24"/>
        </w:rPr>
      </w:pPr>
      <w:r w:rsidRPr="00735E58">
        <w:rPr>
          <w:rFonts w:eastAsia="Times New Roman"/>
          <w:sz w:val="24"/>
          <w:szCs w:val="24"/>
        </w:rPr>
        <w:t xml:space="preserve">Agriculture Project Implementation Unit” State Agency of </w:t>
      </w:r>
    </w:p>
    <w:p w:rsidR="00414D9B" w:rsidRPr="00735E58" w:rsidRDefault="00414D9B" w:rsidP="00414D9B">
      <w:pPr>
        <w:pStyle w:val="Heading5"/>
        <w:tabs>
          <w:tab w:val="num" w:pos="1440"/>
        </w:tabs>
        <w:spacing w:before="0" w:beforeAutospacing="0" w:after="0" w:afterAutospacing="0"/>
        <w:ind w:left="1440" w:right="288" w:hanging="720"/>
        <w:jc w:val="center"/>
        <w:rPr>
          <w:rFonts w:eastAsia="Times New Roman"/>
          <w:sz w:val="24"/>
          <w:szCs w:val="24"/>
        </w:rPr>
      </w:pPr>
      <w:proofErr w:type="gramStart"/>
      <w:r w:rsidRPr="00735E58">
        <w:rPr>
          <w:rFonts w:eastAsia="Times New Roman"/>
          <w:sz w:val="24"/>
          <w:szCs w:val="24"/>
        </w:rPr>
        <w:t>the</w:t>
      </w:r>
      <w:proofErr w:type="gramEnd"/>
      <w:r w:rsidRPr="00735E58">
        <w:rPr>
          <w:rFonts w:eastAsia="Times New Roman"/>
          <w:sz w:val="24"/>
          <w:szCs w:val="24"/>
        </w:rPr>
        <w:t xml:space="preserve"> </w:t>
      </w:r>
      <w:r w:rsidR="00735E58">
        <w:rPr>
          <w:rFonts w:eastAsia="Times New Roman"/>
          <w:sz w:val="24"/>
          <w:szCs w:val="24"/>
        </w:rPr>
        <w:t xml:space="preserve">Ministry </w:t>
      </w:r>
      <w:r w:rsidRPr="00735E58">
        <w:rPr>
          <w:rFonts w:eastAsia="Times New Roman"/>
          <w:sz w:val="24"/>
          <w:szCs w:val="24"/>
        </w:rPr>
        <w:t>o</w:t>
      </w:r>
      <w:r w:rsidR="00735E58">
        <w:rPr>
          <w:rFonts w:eastAsia="Times New Roman"/>
          <w:sz w:val="24"/>
          <w:szCs w:val="24"/>
        </w:rPr>
        <w:t xml:space="preserve">f </w:t>
      </w:r>
      <w:r w:rsidRPr="00735E58">
        <w:rPr>
          <w:rFonts w:eastAsia="Times New Roman"/>
          <w:sz w:val="24"/>
          <w:szCs w:val="24"/>
        </w:rPr>
        <w:t>A</w:t>
      </w:r>
      <w:r w:rsidR="00735E58">
        <w:rPr>
          <w:rFonts w:eastAsia="Times New Roman"/>
          <w:sz w:val="24"/>
          <w:szCs w:val="24"/>
        </w:rPr>
        <w:t>griculture</w:t>
      </w:r>
      <w:r w:rsidRPr="00735E58">
        <w:rPr>
          <w:rFonts w:eastAsia="Times New Roman"/>
          <w:sz w:val="24"/>
          <w:szCs w:val="24"/>
        </w:rPr>
        <w:t xml:space="preserve"> of the R</w:t>
      </w:r>
      <w:r w:rsidR="00735E58">
        <w:rPr>
          <w:rFonts w:eastAsia="Times New Roman"/>
          <w:sz w:val="24"/>
          <w:szCs w:val="24"/>
        </w:rPr>
        <w:t xml:space="preserve">epublic of </w:t>
      </w:r>
      <w:r w:rsidRPr="00735E58">
        <w:rPr>
          <w:rFonts w:eastAsia="Times New Roman"/>
          <w:sz w:val="24"/>
          <w:szCs w:val="24"/>
        </w:rPr>
        <w:t>A</w:t>
      </w:r>
      <w:r w:rsidR="00735E58">
        <w:rPr>
          <w:rFonts w:eastAsia="Times New Roman"/>
          <w:sz w:val="24"/>
          <w:szCs w:val="24"/>
        </w:rPr>
        <w:t>rmenia</w:t>
      </w:r>
    </w:p>
    <w:p w:rsidR="00414D9B" w:rsidRPr="00735E58" w:rsidRDefault="00414D9B" w:rsidP="00414D9B">
      <w:pPr>
        <w:pStyle w:val="Heading5"/>
        <w:tabs>
          <w:tab w:val="num" w:pos="1440"/>
        </w:tabs>
        <w:spacing w:before="0" w:beforeAutospacing="0" w:after="0" w:afterAutospacing="0"/>
        <w:ind w:left="1440" w:right="288" w:hanging="720"/>
        <w:jc w:val="center"/>
        <w:rPr>
          <w:rFonts w:eastAsia="Times New Roman"/>
          <w:sz w:val="24"/>
          <w:szCs w:val="24"/>
        </w:rPr>
      </w:pPr>
    </w:p>
    <w:p w:rsidR="00414D9B" w:rsidRPr="00735E58" w:rsidRDefault="00414D9B" w:rsidP="00414D9B">
      <w:pPr>
        <w:pStyle w:val="Heading5"/>
        <w:tabs>
          <w:tab w:val="num" w:pos="1440"/>
        </w:tabs>
        <w:spacing w:before="0" w:beforeAutospacing="0" w:after="0" w:afterAutospacing="0"/>
        <w:ind w:left="1440" w:right="288" w:hanging="720"/>
        <w:jc w:val="center"/>
        <w:rPr>
          <w:rFonts w:eastAsia="Times New Roman"/>
          <w:sz w:val="24"/>
          <w:szCs w:val="24"/>
          <w:lang w:val="hy-AM"/>
        </w:rPr>
      </w:pPr>
      <w:r w:rsidRPr="00735E58">
        <w:rPr>
          <w:rFonts w:eastAsia="Times New Roman"/>
          <w:sz w:val="24"/>
          <w:szCs w:val="24"/>
        </w:rPr>
        <w:t>Contract Award Notice</w:t>
      </w:r>
    </w:p>
    <w:p w:rsidR="00414D9B" w:rsidRPr="00735E58" w:rsidRDefault="00414D9B" w:rsidP="00414D9B">
      <w:pPr>
        <w:numPr>
          <w:ilvl w:val="0"/>
          <w:numId w:val="5"/>
        </w:numPr>
        <w:rPr>
          <w:bCs/>
          <w:iCs/>
          <w:sz w:val="20"/>
          <w:szCs w:val="20"/>
        </w:rPr>
      </w:pPr>
      <w:r w:rsidRPr="00735E58">
        <w:rPr>
          <w:bCs/>
          <w:iCs/>
          <w:sz w:val="20"/>
          <w:szCs w:val="20"/>
        </w:rPr>
        <w:t>Community Agricultural Resource Management and Competitiveness (CARMAC) Pr</w:t>
      </w:r>
      <w:r w:rsidR="00735E58">
        <w:rPr>
          <w:bCs/>
          <w:iCs/>
          <w:sz w:val="20"/>
          <w:szCs w:val="20"/>
        </w:rPr>
        <w:t>oject (IDA Credit No. 4891- AM).</w:t>
      </w:r>
      <w:r w:rsidRPr="00735E58">
        <w:rPr>
          <w:bCs/>
          <w:iCs/>
          <w:sz w:val="20"/>
          <w:szCs w:val="20"/>
        </w:rPr>
        <w:t xml:space="preserve"> Project No. </w:t>
      </w:r>
      <w:r w:rsidRPr="00735E58">
        <w:rPr>
          <w:sz w:val="20"/>
          <w:szCs w:val="20"/>
        </w:rPr>
        <w:t>P120028</w:t>
      </w:r>
    </w:p>
    <w:p w:rsidR="00414D9B" w:rsidRPr="00735E58" w:rsidRDefault="00414D9B" w:rsidP="00414D9B">
      <w:pPr>
        <w:numPr>
          <w:ilvl w:val="0"/>
          <w:numId w:val="5"/>
        </w:numPr>
        <w:rPr>
          <w:bCs/>
          <w:iCs/>
          <w:sz w:val="20"/>
          <w:szCs w:val="20"/>
        </w:rPr>
      </w:pPr>
      <w:r w:rsidRPr="00735E58">
        <w:rPr>
          <w:bCs/>
          <w:iCs/>
          <w:sz w:val="20"/>
          <w:szCs w:val="20"/>
        </w:rPr>
        <w:t>Global Environment Facility MSP Grant (GEF MSP Grant No. TF 13724) for Community Agricultural Resource Management and Competitiveness (CARMAC) Project</w:t>
      </w:r>
      <w:r w:rsidR="00735E58">
        <w:rPr>
          <w:bCs/>
          <w:iCs/>
          <w:sz w:val="20"/>
          <w:szCs w:val="20"/>
        </w:rPr>
        <w:t xml:space="preserve">. </w:t>
      </w:r>
      <w:r w:rsidRPr="00735E58">
        <w:rPr>
          <w:bCs/>
          <w:iCs/>
          <w:sz w:val="20"/>
          <w:szCs w:val="20"/>
        </w:rPr>
        <w:t xml:space="preserve"> Project No.</w:t>
      </w:r>
      <w:r w:rsidRPr="00735E58">
        <w:rPr>
          <w:bCs/>
          <w:sz w:val="20"/>
          <w:szCs w:val="20"/>
        </w:rPr>
        <w:t xml:space="preserve"> P144283</w:t>
      </w:r>
    </w:p>
    <w:p w:rsidR="00414D9B" w:rsidRPr="00735E58" w:rsidRDefault="00414D9B" w:rsidP="00414D9B">
      <w:pPr>
        <w:numPr>
          <w:ilvl w:val="0"/>
          <w:numId w:val="5"/>
        </w:numPr>
        <w:rPr>
          <w:bCs/>
          <w:iCs/>
          <w:sz w:val="20"/>
          <w:szCs w:val="20"/>
        </w:rPr>
      </w:pPr>
      <w:r w:rsidRPr="00735E58">
        <w:rPr>
          <w:bCs/>
          <w:iCs/>
          <w:sz w:val="20"/>
          <w:szCs w:val="20"/>
        </w:rPr>
        <w:t>Second Community Agricultural Resource Management and Competitiveness (CARMAC2) Project (IBRD Loan No. 8374-AM, IDA Credit No. 5504-AM, 5505-AM)</w:t>
      </w:r>
      <w:r w:rsidR="00735E58">
        <w:rPr>
          <w:bCs/>
          <w:iCs/>
          <w:sz w:val="20"/>
          <w:szCs w:val="20"/>
        </w:rPr>
        <w:t>.</w:t>
      </w:r>
      <w:r w:rsidRPr="00735E58">
        <w:rPr>
          <w:bCs/>
          <w:iCs/>
          <w:sz w:val="20"/>
          <w:szCs w:val="20"/>
        </w:rPr>
        <w:t xml:space="preserve"> </w:t>
      </w:r>
      <w:r w:rsidR="00735E58">
        <w:rPr>
          <w:bCs/>
          <w:iCs/>
          <w:sz w:val="20"/>
          <w:szCs w:val="20"/>
        </w:rPr>
        <w:t xml:space="preserve"> </w:t>
      </w:r>
      <w:r w:rsidRPr="00735E58">
        <w:rPr>
          <w:bCs/>
          <w:iCs/>
          <w:sz w:val="20"/>
          <w:szCs w:val="20"/>
        </w:rPr>
        <w:t>Project No.</w:t>
      </w:r>
      <w:r w:rsidRPr="00735E58">
        <w:rPr>
          <w:bCs/>
          <w:sz w:val="20"/>
          <w:szCs w:val="20"/>
        </w:rPr>
        <w:t xml:space="preserve"> P133705</w:t>
      </w:r>
    </w:p>
    <w:p w:rsidR="00414D9B" w:rsidRPr="00735E58" w:rsidRDefault="00414D9B" w:rsidP="00414D9B">
      <w:pPr>
        <w:pStyle w:val="Heading5"/>
        <w:tabs>
          <w:tab w:val="num" w:pos="1440"/>
        </w:tabs>
        <w:spacing w:before="0" w:beforeAutospacing="0" w:after="0" w:afterAutospacing="0"/>
        <w:ind w:left="1440" w:right="288" w:hanging="720"/>
        <w:jc w:val="center"/>
        <w:rPr>
          <w:rFonts w:eastAsia="Times New Roman"/>
          <w:lang w:val="hy-AM"/>
        </w:rPr>
      </w:pPr>
    </w:p>
    <w:tbl>
      <w:tblPr>
        <w:tblStyle w:val="TableGrid"/>
        <w:tblW w:w="0" w:type="auto"/>
        <w:tblLook w:val="04A0"/>
      </w:tblPr>
      <w:tblGrid>
        <w:gridCol w:w="1638"/>
        <w:gridCol w:w="6750"/>
        <w:gridCol w:w="1170"/>
        <w:gridCol w:w="738"/>
      </w:tblGrid>
      <w:tr w:rsidR="00414D9B" w:rsidRPr="00735E58" w:rsidTr="0036114C">
        <w:tc>
          <w:tcPr>
            <w:tcW w:w="1638" w:type="dxa"/>
            <w:shd w:val="clear" w:color="auto" w:fill="DBE5F1" w:themeFill="accent1" w:themeFillTint="33"/>
          </w:tcPr>
          <w:p w:rsidR="00414D9B" w:rsidRPr="00735E58" w:rsidRDefault="00414D9B" w:rsidP="00CD5B2F">
            <w:pPr>
              <w:pStyle w:val="NormalWeb"/>
              <w:rPr>
                <w:sz w:val="18"/>
                <w:szCs w:val="18"/>
              </w:rPr>
            </w:pPr>
            <w:r w:rsidRPr="00735E58">
              <w:rPr>
                <w:sz w:val="18"/>
                <w:szCs w:val="18"/>
              </w:rPr>
              <w:t>Scope of Contract:</w:t>
            </w:r>
          </w:p>
        </w:tc>
        <w:tc>
          <w:tcPr>
            <w:tcW w:w="6750" w:type="dxa"/>
          </w:tcPr>
          <w:p w:rsidR="00933DB7" w:rsidRPr="00735E58" w:rsidRDefault="00933DB7" w:rsidP="00933DB7">
            <w:pPr>
              <w:ind w:left="-90" w:firstLine="90"/>
              <w:rPr>
                <w:b/>
                <w:sz w:val="20"/>
                <w:szCs w:val="20"/>
                <w:u w:val="single"/>
              </w:rPr>
            </w:pPr>
            <w:r w:rsidRPr="00735E58">
              <w:rPr>
                <w:b/>
                <w:sz w:val="20"/>
                <w:szCs w:val="20"/>
                <w:u w:val="single"/>
              </w:rPr>
              <w:t xml:space="preserve">Contract No. CARMAC-CS-16/126 (CARMAC-TF Audit) </w:t>
            </w:r>
          </w:p>
          <w:p w:rsidR="0036114C" w:rsidRPr="00735E58" w:rsidRDefault="0036114C" w:rsidP="0036114C">
            <w:pPr>
              <w:rPr>
                <w:sz w:val="18"/>
                <w:szCs w:val="18"/>
              </w:rPr>
            </w:pPr>
            <w:r w:rsidRPr="00735E58">
              <w:rPr>
                <w:sz w:val="18"/>
                <w:szCs w:val="18"/>
              </w:rPr>
              <w:t xml:space="preserve">Audit of </w:t>
            </w:r>
            <w:r w:rsidRPr="00735E58">
              <w:rPr>
                <w:bCs/>
                <w:iCs/>
                <w:sz w:val="18"/>
                <w:szCs w:val="18"/>
              </w:rPr>
              <w:t xml:space="preserve">CARMAC Project </w:t>
            </w:r>
            <w:r w:rsidRPr="00735E58">
              <w:rPr>
                <w:sz w:val="18"/>
                <w:szCs w:val="18"/>
              </w:rPr>
              <w:t xml:space="preserve">for years ended December 31, 2015 and for the period from January 1, 2016 to September 30, 2016 (covering also the grace period) and  Audit of the Global Environment Facility MSP Grant  for the CARMAC Project for the year ended December 31, 2015 and for the period from January 1, 2016 to December 11, 2016 (covering also the grace period) </w:t>
            </w:r>
          </w:p>
          <w:p w:rsidR="00933DB7" w:rsidRPr="00735E58" w:rsidRDefault="00933DB7" w:rsidP="00933DB7">
            <w:pPr>
              <w:ind w:left="-90" w:firstLine="90"/>
              <w:rPr>
                <w:b/>
                <w:sz w:val="20"/>
                <w:szCs w:val="20"/>
                <w:u w:val="single"/>
              </w:rPr>
            </w:pPr>
            <w:r w:rsidRPr="00735E58">
              <w:rPr>
                <w:b/>
                <w:sz w:val="20"/>
                <w:szCs w:val="20"/>
                <w:u w:val="single"/>
              </w:rPr>
              <w:t>Contract No. CARMAC2-CS-16/12 (CARMAC2 Audit)</w:t>
            </w:r>
          </w:p>
          <w:p w:rsidR="0036114C" w:rsidRPr="00735E58" w:rsidRDefault="0036114C" w:rsidP="0036114C">
            <w:pPr>
              <w:rPr>
                <w:sz w:val="18"/>
                <w:szCs w:val="18"/>
              </w:rPr>
            </w:pPr>
            <w:r w:rsidRPr="00735E58">
              <w:rPr>
                <w:sz w:val="18"/>
                <w:szCs w:val="18"/>
              </w:rPr>
              <w:t xml:space="preserve">Audit of the </w:t>
            </w:r>
            <w:r w:rsidRPr="00735E58">
              <w:rPr>
                <w:bCs/>
                <w:iCs/>
                <w:sz w:val="18"/>
                <w:szCs w:val="18"/>
              </w:rPr>
              <w:t xml:space="preserve">CARMAC2 </w:t>
            </w:r>
            <w:r w:rsidRPr="00735E58">
              <w:rPr>
                <w:sz w:val="18"/>
                <w:szCs w:val="18"/>
              </w:rPr>
              <w:t>Project for each year for the period from January 23, 2015 to December 31, 2015, the years ending December 31, 2016, December 31, 2017, December 31, 2018, December 31, 2019 and the period from January 1, 2020 to May 31, 2020 (including also the grace period)</w:t>
            </w:r>
          </w:p>
          <w:p w:rsidR="00414D9B" w:rsidRPr="00735E58" w:rsidRDefault="00414D9B" w:rsidP="00CD5B2F">
            <w:pPr>
              <w:rPr>
                <w:sz w:val="18"/>
                <w:szCs w:val="18"/>
              </w:rPr>
            </w:pPr>
          </w:p>
        </w:tc>
        <w:tc>
          <w:tcPr>
            <w:tcW w:w="1170" w:type="dxa"/>
            <w:shd w:val="clear" w:color="auto" w:fill="DBE5F1" w:themeFill="accent1" w:themeFillTint="33"/>
          </w:tcPr>
          <w:p w:rsidR="00414D9B" w:rsidRPr="00735E58" w:rsidRDefault="00414D9B" w:rsidP="00CD5B2F">
            <w:pPr>
              <w:pStyle w:val="NormalWeb"/>
              <w:rPr>
                <w:sz w:val="18"/>
                <w:szCs w:val="18"/>
              </w:rPr>
            </w:pPr>
            <w:r w:rsidRPr="00735E58">
              <w:rPr>
                <w:sz w:val="18"/>
                <w:szCs w:val="18"/>
              </w:rPr>
              <w:t>Minimum Qualifying Technical Score:</w:t>
            </w:r>
          </w:p>
        </w:tc>
        <w:tc>
          <w:tcPr>
            <w:tcW w:w="738" w:type="dxa"/>
          </w:tcPr>
          <w:p w:rsidR="00414D9B" w:rsidRPr="00945B9A" w:rsidRDefault="00414D9B" w:rsidP="00CD5B2F">
            <w:pPr>
              <w:rPr>
                <w:b/>
                <w:sz w:val="22"/>
                <w:szCs w:val="22"/>
                <w:lang w:val="hy-AM"/>
              </w:rPr>
            </w:pPr>
            <w:r w:rsidRPr="00945B9A">
              <w:rPr>
                <w:b/>
                <w:sz w:val="18"/>
              </w:rPr>
              <w:t>75.00</w:t>
            </w:r>
          </w:p>
        </w:tc>
      </w:tr>
    </w:tbl>
    <w:tbl>
      <w:tblPr>
        <w:tblW w:w="10314" w:type="dxa"/>
        <w:tblLayout w:type="fixed"/>
        <w:tblLook w:val="0000"/>
      </w:tblPr>
      <w:tblGrid>
        <w:gridCol w:w="3168"/>
        <w:gridCol w:w="3690"/>
        <w:gridCol w:w="3456"/>
      </w:tblGrid>
      <w:tr w:rsidR="0036114C" w:rsidRPr="00735E58" w:rsidTr="000646D1">
        <w:tc>
          <w:tcPr>
            <w:tcW w:w="3168" w:type="dxa"/>
            <w:tcBorders>
              <w:top w:val="single" w:sz="6" w:space="0" w:color="auto"/>
              <w:left w:val="single" w:sz="6" w:space="0" w:color="auto"/>
              <w:bottom w:val="single" w:sz="6" w:space="0" w:color="auto"/>
            </w:tcBorders>
            <w:shd w:val="clear" w:color="auto" w:fill="DBE5F1" w:themeFill="accent1" w:themeFillTint="33"/>
          </w:tcPr>
          <w:p w:rsidR="0036114C" w:rsidRPr="00735E58" w:rsidRDefault="0036114C" w:rsidP="00CD5B2F">
            <w:pPr>
              <w:rPr>
                <w:sz w:val="18"/>
                <w:szCs w:val="18"/>
              </w:rPr>
            </w:pPr>
            <w:r w:rsidRPr="00735E58">
              <w:rPr>
                <w:sz w:val="18"/>
                <w:szCs w:val="18"/>
              </w:rPr>
              <w:t>Consultants’ names</w:t>
            </w:r>
          </w:p>
        </w:tc>
        <w:tc>
          <w:tcPr>
            <w:tcW w:w="3690" w:type="dxa"/>
            <w:tcBorders>
              <w:top w:val="single" w:sz="6" w:space="0" w:color="auto"/>
              <w:left w:val="single" w:sz="6" w:space="0" w:color="auto"/>
              <w:bottom w:val="single" w:sz="6" w:space="0" w:color="auto"/>
              <w:right w:val="single" w:sz="6" w:space="0" w:color="auto"/>
            </w:tcBorders>
          </w:tcPr>
          <w:p w:rsidR="0036114C" w:rsidRPr="00735E58" w:rsidRDefault="0036114C" w:rsidP="00CD5B2F">
            <w:pPr>
              <w:rPr>
                <w:b/>
                <w:sz w:val="18"/>
                <w:szCs w:val="18"/>
              </w:rPr>
            </w:pPr>
            <w:r w:rsidRPr="00735E58">
              <w:rPr>
                <w:b/>
                <w:sz w:val="18"/>
                <w:szCs w:val="18"/>
              </w:rPr>
              <w:t>“SOS-Audit” LTD</w:t>
            </w:r>
          </w:p>
        </w:tc>
        <w:tc>
          <w:tcPr>
            <w:tcW w:w="3456" w:type="dxa"/>
            <w:tcBorders>
              <w:top w:val="single" w:sz="6" w:space="0" w:color="auto"/>
              <w:left w:val="single" w:sz="6" w:space="0" w:color="auto"/>
              <w:bottom w:val="single" w:sz="6" w:space="0" w:color="auto"/>
              <w:right w:val="single" w:sz="6" w:space="0" w:color="auto"/>
            </w:tcBorders>
          </w:tcPr>
          <w:p w:rsidR="0036114C" w:rsidRPr="00735E58" w:rsidRDefault="0036114C" w:rsidP="00CD5B2F">
            <w:pPr>
              <w:rPr>
                <w:b/>
                <w:sz w:val="18"/>
                <w:szCs w:val="18"/>
              </w:rPr>
            </w:pPr>
            <w:r w:rsidRPr="00735E58">
              <w:rPr>
                <w:b/>
                <w:sz w:val="18"/>
                <w:szCs w:val="18"/>
              </w:rPr>
              <w:t>Grant Thornton CJSC (Armenia)</w:t>
            </w:r>
          </w:p>
        </w:tc>
      </w:tr>
      <w:tr w:rsidR="0036114C" w:rsidRPr="00735E58" w:rsidTr="000646D1">
        <w:tc>
          <w:tcPr>
            <w:tcW w:w="31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6114C" w:rsidRPr="00735E58" w:rsidRDefault="0036114C" w:rsidP="00CD5B2F">
            <w:pPr>
              <w:rPr>
                <w:sz w:val="18"/>
                <w:szCs w:val="18"/>
              </w:rPr>
            </w:pPr>
            <w:r w:rsidRPr="00735E58">
              <w:rPr>
                <w:sz w:val="18"/>
                <w:szCs w:val="18"/>
              </w:rPr>
              <w:t>City/Country</w:t>
            </w:r>
          </w:p>
        </w:tc>
        <w:tc>
          <w:tcPr>
            <w:tcW w:w="3690" w:type="dxa"/>
            <w:tcBorders>
              <w:top w:val="single" w:sz="6" w:space="0" w:color="auto"/>
              <w:left w:val="single" w:sz="6" w:space="0" w:color="auto"/>
              <w:bottom w:val="single" w:sz="6" w:space="0" w:color="auto"/>
              <w:right w:val="single" w:sz="6" w:space="0" w:color="auto"/>
            </w:tcBorders>
          </w:tcPr>
          <w:p w:rsidR="0036114C" w:rsidRPr="00735E58" w:rsidRDefault="0036114C" w:rsidP="00CD5B2F">
            <w:pPr>
              <w:rPr>
                <w:sz w:val="18"/>
                <w:szCs w:val="18"/>
              </w:rPr>
            </w:pPr>
            <w:r w:rsidRPr="00735E58">
              <w:rPr>
                <w:sz w:val="18"/>
                <w:szCs w:val="18"/>
              </w:rPr>
              <w:t>38/55, A. Tigranyan str., Yerevan 0037, Armenia</w:t>
            </w:r>
          </w:p>
        </w:tc>
        <w:tc>
          <w:tcPr>
            <w:tcW w:w="3456" w:type="dxa"/>
            <w:tcBorders>
              <w:top w:val="single" w:sz="6" w:space="0" w:color="auto"/>
              <w:left w:val="single" w:sz="6" w:space="0" w:color="auto"/>
              <w:bottom w:val="single" w:sz="6" w:space="0" w:color="auto"/>
              <w:right w:val="single" w:sz="6" w:space="0" w:color="auto"/>
            </w:tcBorders>
          </w:tcPr>
          <w:p w:rsidR="0036114C" w:rsidRPr="00735E58" w:rsidRDefault="0036114C" w:rsidP="0036114C">
            <w:pPr>
              <w:rPr>
                <w:sz w:val="18"/>
                <w:szCs w:val="18"/>
              </w:rPr>
            </w:pPr>
            <w:r w:rsidRPr="00735E58">
              <w:rPr>
                <w:sz w:val="18"/>
                <w:szCs w:val="18"/>
              </w:rPr>
              <w:t>8/1, Vagharshyan str., Yerevan 0012, Armenia</w:t>
            </w:r>
          </w:p>
        </w:tc>
      </w:tr>
      <w:tr w:rsidR="0036114C" w:rsidRPr="00735E58" w:rsidTr="000646D1">
        <w:trPr>
          <w:trHeight w:val="331"/>
        </w:trPr>
        <w:tc>
          <w:tcPr>
            <w:tcW w:w="3168" w:type="dxa"/>
            <w:tcBorders>
              <w:top w:val="single" w:sz="6" w:space="0" w:color="auto"/>
              <w:left w:val="single" w:sz="6" w:space="0" w:color="auto"/>
              <w:right w:val="single" w:sz="6" w:space="0" w:color="auto"/>
            </w:tcBorders>
            <w:shd w:val="clear" w:color="auto" w:fill="DBE5F1" w:themeFill="accent1" w:themeFillTint="33"/>
          </w:tcPr>
          <w:p w:rsidR="0036114C" w:rsidRPr="00735E58" w:rsidRDefault="0036114C" w:rsidP="00CD5B2F">
            <w:pPr>
              <w:rPr>
                <w:sz w:val="18"/>
                <w:szCs w:val="18"/>
              </w:rPr>
            </w:pPr>
            <w:r w:rsidRPr="00735E58">
              <w:rPr>
                <w:sz w:val="18"/>
                <w:szCs w:val="18"/>
              </w:rPr>
              <w:t>Status:</w:t>
            </w:r>
          </w:p>
        </w:tc>
        <w:tc>
          <w:tcPr>
            <w:tcW w:w="3690" w:type="dxa"/>
            <w:tcBorders>
              <w:top w:val="single" w:sz="6" w:space="0" w:color="auto"/>
              <w:left w:val="single" w:sz="6" w:space="0" w:color="auto"/>
              <w:bottom w:val="single" w:sz="6" w:space="0" w:color="auto"/>
              <w:right w:val="single" w:sz="6" w:space="0" w:color="auto"/>
            </w:tcBorders>
            <w:shd w:val="clear" w:color="auto" w:fill="C6D9F1" w:themeFill="text2" w:themeFillTint="33"/>
          </w:tcPr>
          <w:p w:rsidR="0036114C" w:rsidRPr="00735E58" w:rsidRDefault="0036114C" w:rsidP="00CD5B2F">
            <w:pPr>
              <w:rPr>
                <w:b/>
                <w:sz w:val="18"/>
                <w:szCs w:val="18"/>
              </w:rPr>
            </w:pPr>
            <w:r w:rsidRPr="00735E58">
              <w:rPr>
                <w:b/>
                <w:sz w:val="18"/>
                <w:szCs w:val="18"/>
              </w:rPr>
              <w:t>Awarded Consultant/Firm</w:t>
            </w:r>
          </w:p>
        </w:tc>
        <w:tc>
          <w:tcPr>
            <w:tcW w:w="3456" w:type="dxa"/>
            <w:tcBorders>
              <w:top w:val="single" w:sz="6" w:space="0" w:color="auto"/>
              <w:left w:val="single" w:sz="6" w:space="0" w:color="auto"/>
              <w:bottom w:val="single" w:sz="6" w:space="0" w:color="auto"/>
              <w:right w:val="single" w:sz="6" w:space="0" w:color="auto"/>
            </w:tcBorders>
            <w:shd w:val="clear" w:color="auto" w:fill="C6D9F1" w:themeFill="text2" w:themeFillTint="33"/>
          </w:tcPr>
          <w:p w:rsidR="0036114C" w:rsidRPr="00735E58" w:rsidRDefault="0036114C" w:rsidP="00CD5B2F">
            <w:pPr>
              <w:rPr>
                <w:b/>
                <w:sz w:val="18"/>
                <w:szCs w:val="18"/>
              </w:rPr>
            </w:pPr>
            <w:r w:rsidRPr="00735E58">
              <w:rPr>
                <w:b/>
                <w:sz w:val="18"/>
                <w:szCs w:val="18"/>
              </w:rPr>
              <w:t>Evaluated Consultant/Firm</w:t>
            </w:r>
          </w:p>
        </w:tc>
      </w:tr>
      <w:tr w:rsidR="0036114C" w:rsidRPr="00735E58" w:rsidTr="000646D1">
        <w:tc>
          <w:tcPr>
            <w:tcW w:w="31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6114C" w:rsidRPr="00735E58" w:rsidRDefault="0036114C" w:rsidP="00CD5B2F">
            <w:pPr>
              <w:ind w:left="270"/>
              <w:rPr>
                <w:sz w:val="18"/>
                <w:szCs w:val="18"/>
              </w:rPr>
            </w:pPr>
            <w:r w:rsidRPr="00735E58">
              <w:rPr>
                <w:sz w:val="18"/>
                <w:szCs w:val="18"/>
              </w:rPr>
              <w:t>Technical Score</w:t>
            </w:r>
          </w:p>
        </w:tc>
        <w:tc>
          <w:tcPr>
            <w:tcW w:w="3690" w:type="dxa"/>
            <w:tcBorders>
              <w:top w:val="single" w:sz="6" w:space="0" w:color="auto"/>
              <w:left w:val="single" w:sz="6" w:space="0" w:color="auto"/>
              <w:bottom w:val="single" w:sz="6" w:space="0" w:color="auto"/>
              <w:right w:val="single" w:sz="6" w:space="0" w:color="auto"/>
            </w:tcBorders>
          </w:tcPr>
          <w:p w:rsidR="0036114C" w:rsidRPr="00735E58" w:rsidRDefault="0036114C" w:rsidP="0036114C">
            <w:pPr>
              <w:rPr>
                <w:sz w:val="18"/>
                <w:szCs w:val="18"/>
              </w:rPr>
            </w:pPr>
            <w:r w:rsidRPr="00735E58">
              <w:rPr>
                <w:sz w:val="18"/>
                <w:szCs w:val="18"/>
              </w:rPr>
              <w:t>90.25</w:t>
            </w:r>
          </w:p>
        </w:tc>
        <w:tc>
          <w:tcPr>
            <w:tcW w:w="3456" w:type="dxa"/>
            <w:tcBorders>
              <w:top w:val="single" w:sz="6" w:space="0" w:color="auto"/>
              <w:left w:val="single" w:sz="6" w:space="0" w:color="auto"/>
              <w:bottom w:val="single" w:sz="6" w:space="0" w:color="auto"/>
              <w:right w:val="single" w:sz="6" w:space="0" w:color="auto"/>
            </w:tcBorders>
          </w:tcPr>
          <w:p w:rsidR="0036114C" w:rsidRPr="00735E58" w:rsidRDefault="0036114C" w:rsidP="00CD5B2F">
            <w:pPr>
              <w:rPr>
                <w:sz w:val="18"/>
                <w:szCs w:val="18"/>
              </w:rPr>
            </w:pPr>
            <w:r w:rsidRPr="00735E58">
              <w:rPr>
                <w:sz w:val="18"/>
                <w:szCs w:val="18"/>
              </w:rPr>
              <w:t>90.11</w:t>
            </w:r>
          </w:p>
        </w:tc>
      </w:tr>
      <w:tr w:rsidR="0036114C" w:rsidRPr="00735E58" w:rsidTr="000646D1">
        <w:tc>
          <w:tcPr>
            <w:tcW w:w="31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6114C" w:rsidRPr="00735E58" w:rsidRDefault="0036114C" w:rsidP="00CD5B2F">
            <w:pPr>
              <w:ind w:left="270"/>
              <w:rPr>
                <w:sz w:val="18"/>
                <w:szCs w:val="18"/>
              </w:rPr>
            </w:pPr>
            <w:r w:rsidRPr="00735E58">
              <w:rPr>
                <w:sz w:val="18"/>
                <w:szCs w:val="18"/>
              </w:rPr>
              <w:t>Financial Score</w:t>
            </w:r>
          </w:p>
        </w:tc>
        <w:tc>
          <w:tcPr>
            <w:tcW w:w="3690" w:type="dxa"/>
            <w:tcBorders>
              <w:top w:val="single" w:sz="6" w:space="0" w:color="auto"/>
              <w:left w:val="single" w:sz="6" w:space="0" w:color="auto"/>
              <w:bottom w:val="single" w:sz="6" w:space="0" w:color="auto"/>
              <w:right w:val="single" w:sz="6" w:space="0" w:color="auto"/>
            </w:tcBorders>
          </w:tcPr>
          <w:p w:rsidR="0036114C" w:rsidRPr="00735E58" w:rsidRDefault="0036114C" w:rsidP="00CD5B2F">
            <w:pPr>
              <w:rPr>
                <w:sz w:val="18"/>
                <w:szCs w:val="18"/>
              </w:rPr>
            </w:pPr>
            <w:r w:rsidRPr="00735E58">
              <w:rPr>
                <w:sz w:val="18"/>
                <w:szCs w:val="18"/>
              </w:rPr>
              <w:t>N/A</w:t>
            </w:r>
          </w:p>
        </w:tc>
        <w:tc>
          <w:tcPr>
            <w:tcW w:w="3456" w:type="dxa"/>
            <w:tcBorders>
              <w:top w:val="single" w:sz="6" w:space="0" w:color="auto"/>
              <w:left w:val="single" w:sz="6" w:space="0" w:color="auto"/>
              <w:bottom w:val="single" w:sz="6" w:space="0" w:color="auto"/>
              <w:right w:val="single" w:sz="6" w:space="0" w:color="auto"/>
            </w:tcBorders>
          </w:tcPr>
          <w:p w:rsidR="0036114C" w:rsidRPr="00735E58" w:rsidRDefault="0036114C" w:rsidP="00CD5B2F">
            <w:pPr>
              <w:rPr>
                <w:sz w:val="18"/>
                <w:szCs w:val="18"/>
              </w:rPr>
            </w:pPr>
            <w:r w:rsidRPr="00735E58">
              <w:rPr>
                <w:sz w:val="18"/>
                <w:szCs w:val="18"/>
              </w:rPr>
              <w:t>N/A</w:t>
            </w:r>
          </w:p>
        </w:tc>
      </w:tr>
      <w:tr w:rsidR="0036114C" w:rsidRPr="00735E58" w:rsidTr="000646D1">
        <w:tc>
          <w:tcPr>
            <w:tcW w:w="31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6114C" w:rsidRPr="00735E58" w:rsidRDefault="0036114C" w:rsidP="00CD5B2F">
            <w:pPr>
              <w:ind w:left="270"/>
              <w:rPr>
                <w:sz w:val="18"/>
                <w:szCs w:val="18"/>
              </w:rPr>
            </w:pPr>
            <w:r w:rsidRPr="00735E58">
              <w:rPr>
                <w:sz w:val="18"/>
                <w:szCs w:val="18"/>
              </w:rPr>
              <w:t>Combined Score</w:t>
            </w:r>
          </w:p>
        </w:tc>
        <w:tc>
          <w:tcPr>
            <w:tcW w:w="3690" w:type="dxa"/>
            <w:tcBorders>
              <w:top w:val="single" w:sz="6" w:space="0" w:color="auto"/>
              <w:left w:val="single" w:sz="6" w:space="0" w:color="auto"/>
              <w:bottom w:val="single" w:sz="6" w:space="0" w:color="auto"/>
              <w:right w:val="single" w:sz="6" w:space="0" w:color="auto"/>
            </w:tcBorders>
          </w:tcPr>
          <w:p w:rsidR="0036114C" w:rsidRPr="00735E58" w:rsidRDefault="0036114C" w:rsidP="0036114C">
            <w:pPr>
              <w:rPr>
                <w:sz w:val="18"/>
                <w:szCs w:val="18"/>
              </w:rPr>
            </w:pPr>
            <w:r w:rsidRPr="00735E58">
              <w:rPr>
                <w:sz w:val="18"/>
                <w:szCs w:val="18"/>
              </w:rPr>
              <w:t>90.25</w:t>
            </w:r>
          </w:p>
        </w:tc>
        <w:tc>
          <w:tcPr>
            <w:tcW w:w="3456" w:type="dxa"/>
            <w:tcBorders>
              <w:top w:val="single" w:sz="6" w:space="0" w:color="auto"/>
              <w:left w:val="single" w:sz="6" w:space="0" w:color="auto"/>
              <w:bottom w:val="single" w:sz="6" w:space="0" w:color="auto"/>
              <w:right w:val="single" w:sz="6" w:space="0" w:color="auto"/>
            </w:tcBorders>
          </w:tcPr>
          <w:p w:rsidR="0036114C" w:rsidRPr="00735E58" w:rsidRDefault="0036114C" w:rsidP="0036114C">
            <w:pPr>
              <w:rPr>
                <w:sz w:val="18"/>
                <w:szCs w:val="18"/>
              </w:rPr>
            </w:pPr>
            <w:r w:rsidRPr="00735E58">
              <w:rPr>
                <w:sz w:val="18"/>
                <w:szCs w:val="18"/>
              </w:rPr>
              <w:t>90.11</w:t>
            </w:r>
          </w:p>
        </w:tc>
      </w:tr>
      <w:tr w:rsidR="00414D9B" w:rsidRPr="00735E58" w:rsidTr="00506B45">
        <w:tc>
          <w:tcPr>
            <w:tcW w:w="3168" w:type="dxa"/>
            <w:tcBorders>
              <w:left w:val="single" w:sz="6" w:space="0" w:color="auto"/>
            </w:tcBorders>
            <w:shd w:val="clear" w:color="auto" w:fill="DBE5F1" w:themeFill="accent1" w:themeFillTint="33"/>
          </w:tcPr>
          <w:p w:rsidR="00414D9B" w:rsidRPr="00735E58" w:rsidRDefault="00414D9B" w:rsidP="00CD5B2F">
            <w:pPr>
              <w:rPr>
                <w:sz w:val="18"/>
                <w:szCs w:val="18"/>
              </w:rPr>
            </w:pPr>
            <w:r w:rsidRPr="00735E58">
              <w:rPr>
                <w:sz w:val="18"/>
                <w:szCs w:val="18"/>
              </w:rPr>
              <w:t>Criteria</w:t>
            </w:r>
          </w:p>
        </w:tc>
        <w:tc>
          <w:tcPr>
            <w:tcW w:w="7146" w:type="dxa"/>
            <w:gridSpan w:val="2"/>
            <w:tcBorders>
              <w:top w:val="single" w:sz="6" w:space="0" w:color="auto"/>
              <w:left w:val="single" w:sz="6" w:space="0" w:color="auto"/>
              <w:bottom w:val="single" w:sz="6" w:space="0" w:color="auto"/>
              <w:right w:val="single" w:sz="6" w:space="0" w:color="auto"/>
            </w:tcBorders>
            <w:shd w:val="clear" w:color="auto" w:fill="DBE5F1" w:themeFill="accent1" w:themeFillTint="33"/>
          </w:tcPr>
          <w:p w:rsidR="00414D9B" w:rsidRPr="00735E58" w:rsidRDefault="00414D9B" w:rsidP="00CD5B2F">
            <w:pPr>
              <w:rPr>
                <w:sz w:val="18"/>
                <w:szCs w:val="18"/>
              </w:rPr>
            </w:pPr>
          </w:p>
        </w:tc>
      </w:tr>
      <w:tr w:rsidR="0036114C" w:rsidRPr="00735E58" w:rsidTr="000646D1">
        <w:tc>
          <w:tcPr>
            <w:tcW w:w="31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6114C" w:rsidRPr="00735E58" w:rsidRDefault="0036114C" w:rsidP="0036114C">
            <w:pPr>
              <w:pStyle w:val="ListParagraph"/>
              <w:numPr>
                <w:ilvl w:val="0"/>
                <w:numId w:val="4"/>
              </w:numPr>
              <w:rPr>
                <w:sz w:val="18"/>
                <w:szCs w:val="18"/>
              </w:rPr>
            </w:pPr>
            <w:r w:rsidRPr="00735E58">
              <w:rPr>
                <w:sz w:val="18"/>
                <w:szCs w:val="18"/>
              </w:rPr>
              <w:t xml:space="preserve">Adequacy and quality of the proposed methodology,  and work plan  in responding to the Terms of Reference </w:t>
            </w:r>
          </w:p>
        </w:tc>
        <w:tc>
          <w:tcPr>
            <w:tcW w:w="3690" w:type="dxa"/>
            <w:tcBorders>
              <w:top w:val="single" w:sz="6" w:space="0" w:color="auto"/>
              <w:left w:val="single" w:sz="6" w:space="0" w:color="auto"/>
              <w:bottom w:val="single" w:sz="6" w:space="0" w:color="auto"/>
              <w:right w:val="single" w:sz="6" w:space="0" w:color="auto"/>
            </w:tcBorders>
          </w:tcPr>
          <w:p w:rsidR="0036114C" w:rsidRPr="00735E58" w:rsidRDefault="0036114C" w:rsidP="00CD5B2F">
            <w:pPr>
              <w:rPr>
                <w:sz w:val="18"/>
                <w:szCs w:val="18"/>
              </w:rPr>
            </w:pPr>
            <w:r w:rsidRPr="00735E58">
              <w:rPr>
                <w:sz w:val="18"/>
                <w:szCs w:val="18"/>
              </w:rPr>
              <w:t>17.50</w:t>
            </w:r>
          </w:p>
        </w:tc>
        <w:tc>
          <w:tcPr>
            <w:tcW w:w="3456" w:type="dxa"/>
            <w:tcBorders>
              <w:top w:val="single" w:sz="6" w:space="0" w:color="auto"/>
              <w:left w:val="single" w:sz="6" w:space="0" w:color="auto"/>
              <w:bottom w:val="single" w:sz="6" w:space="0" w:color="auto"/>
              <w:right w:val="single" w:sz="6" w:space="0" w:color="auto"/>
            </w:tcBorders>
          </w:tcPr>
          <w:p w:rsidR="0036114C" w:rsidRPr="00735E58" w:rsidRDefault="0036114C" w:rsidP="0036114C">
            <w:pPr>
              <w:rPr>
                <w:sz w:val="18"/>
                <w:szCs w:val="18"/>
              </w:rPr>
            </w:pPr>
            <w:r w:rsidRPr="00735E58">
              <w:rPr>
                <w:sz w:val="18"/>
                <w:szCs w:val="18"/>
              </w:rPr>
              <w:t>17,50</w:t>
            </w:r>
          </w:p>
        </w:tc>
      </w:tr>
      <w:tr w:rsidR="0036114C" w:rsidRPr="00735E58" w:rsidTr="000646D1">
        <w:tc>
          <w:tcPr>
            <w:tcW w:w="31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6114C" w:rsidRPr="00735E58" w:rsidRDefault="0036114C" w:rsidP="00CD5B2F">
            <w:pPr>
              <w:pStyle w:val="ListParagraph"/>
              <w:numPr>
                <w:ilvl w:val="0"/>
                <w:numId w:val="4"/>
              </w:numPr>
              <w:rPr>
                <w:sz w:val="18"/>
                <w:szCs w:val="18"/>
              </w:rPr>
            </w:pPr>
            <w:r w:rsidRPr="00735E58">
              <w:rPr>
                <w:sz w:val="18"/>
                <w:szCs w:val="18"/>
              </w:rPr>
              <w:t>Key  Experts’ qualifications and competence for the Assignment</w:t>
            </w:r>
            <w:r w:rsidRPr="00735E58">
              <w:rPr>
                <w:sz w:val="18"/>
                <w:szCs w:val="18"/>
              </w:rPr>
              <w:br/>
            </w:r>
          </w:p>
        </w:tc>
        <w:tc>
          <w:tcPr>
            <w:tcW w:w="3690" w:type="dxa"/>
            <w:tcBorders>
              <w:top w:val="single" w:sz="6" w:space="0" w:color="auto"/>
              <w:left w:val="single" w:sz="6" w:space="0" w:color="auto"/>
              <w:bottom w:val="single" w:sz="6" w:space="0" w:color="auto"/>
              <w:right w:val="single" w:sz="6" w:space="0" w:color="auto"/>
            </w:tcBorders>
          </w:tcPr>
          <w:p w:rsidR="0036114C" w:rsidRPr="00735E58" w:rsidRDefault="0036114C" w:rsidP="00CD5B2F">
            <w:pPr>
              <w:rPr>
                <w:sz w:val="18"/>
                <w:szCs w:val="18"/>
              </w:rPr>
            </w:pPr>
            <w:r w:rsidRPr="00735E58">
              <w:rPr>
                <w:sz w:val="18"/>
                <w:szCs w:val="18"/>
              </w:rPr>
              <w:t>62.75</w:t>
            </w:r>
          </w:p>
        </w:tc>
        <w:tc>
          <w:tcPr>
            <w:tcW w:w="3456" w:type="dxa"/>
            <w:tcBorders>
              <w:top w:val="single" w:sz="6" w:space="0" w:color="auto"/>
              <w:left w:val="single" w:sz="6" w:space="0" w:color="auto"/>
              <w:bottom w:val="single" w:sz="6" w:space="0" w:color="auto"/>
              <w:right w:val="single" w:sz="6" w:space="0" w:color="auto"/>
            </w:tcBorders>
          </w:tcPr>
          <w:p w:rsidR="0036114C" w:rsidRPr="00735E58" w:rsidRDefault="0036114C" w:rsidP="00CD5B2F">
            <w:pPr>
              <w:rPr>
                <w:sz w:val="18"/>
                <w:szCs w:val="18"/>
              </w:rPr>
            </w:pPr>
            <w:r w:rsidRPr="00735E58">
              <w:rPr>
                <w:sz w:val="18"/>
                <w:szCs w:val="18"/>
              </w:rPr>
              <w:t>62.61</w:t>
            </w:r>
          </w:p>
        </w:tc>
      </w:tr>
      <w:tr w:rsidR="0036114C" w:rsidRPr="00735E58" w:rsidTr="000646D1">
        <w:tc>
          <w:tcPr>
            <w:tcW w:w="3168" w:type="dxa"/>
            <w:tcBorders>
              <w:top w:val="single" w:sz="6" w:space="0" w:color="auto"/>
              <w:left w:val="single" w:sz="6" w:space="0" w:color="auto"/>
              <w:right w:val="single" w:sz="6" w:space="0" w:color="auto"/>
            </w:tcBorders>
            <w:shd w:val="clear" w:color="auto" w:fill="DBE5F1" w:themeFill="accent1" w:themeFillTint="33"/>
          </w:tcPr>
          <w:p w:rsidR="0036114C" w:rsidRPr="00735E58" w:rsidRDefault="0036114C" w:rsidP="0036114C">
            <w:pPr>
              <w:pStyle w:val="ListParagraph"/>
              <w:numPr>
                <w:ilvl w:val="0"/>
                <w:numId w:val="4"/>
              </w:numPr>
              <w:rPr>
                <w:sz w:val="18"/>
                <w:szCs w:val="18"/>
              </w:rPr>
            </w:pPr>
            <w:r w:rsidRPr="00735E58">
              <w:rPr>
                <w:sz w:val="18"/>
                <w:szCs w:val="18"/>
              </w:rPr>
              <w:t>Participation by nationals among proposed Key Experts</w:t>
            </w:r>
          </w:p>
        </w:tc>
        <w:tc>
          <w:tcPr>
            <w:tcW w:w="3690" w:type="dxa"/>
            <w:tcBorders>
              <w:top w:val="single" w:sz="6" w:space="0" w:color="auto"/>
              <w:left w:val="single" w:sz="6" w:space="0" w:color="auto"/>
              <w:right w:val="single" w:sz="6" w:space="0" w:color="auto"/>
            </w:tcBorders>
          </w:tcPr>
          <w:p w:rsidR="0036114C" w:rsidRPr="00735E58" w:rsidRDefault="0036114C" w:rsidP="00CD5B2F">
            <w:pPr>
              <w:rPr>
                <w:sz w:val="18"/>
                <w:szCs w:val="18"/>
              </w:rPr>
            </w:pPr>
            <w:r w:rsidRPr="00735E58">
              <w:rPr>
                <w:sz w:val="18"/>
                <w:szCs w:val="18"/>
              </w:rPr>
              <w:t>10.00</w:t>
            </w:r>
          </w:p>
        </w:tc>
        <w:tc>
          <w:tcPr>
            <w:tcW w:w="3456" w:type="dxa"/>
            <w:tcBorders>
              <w:top w:val="single" w:sz="6" w:space="0" w:color="auto"/>
              <w:left w:val="single" w:sz="6" w:space="0" w:color="auto"/>
              <w:right w:val="single" w:sz="6" w:space="0" w:color="auto"/>
            </w:tcBorders>
          </w:tcPr>
          <w:p w:rsidR="0036114C" w:rsidRPr="00735E58" w:rsidRDefault="0036114C" w:rsidP="00CD5B2F">
            <w:pPr>
              <w:rPr>
                <w:sz w:val="18"/>
                <w:szCs w:val="18"/>
              </w:rPr>
            </w:pPr>
            <w:r w:rsidRPr="00735E58">
              <w:rPr>
                <w:sz w:val="18"/>
                <w:szCs w:val="18"/>
              </w:rPr>
              <w:t>10.00</w:t>
            </w:r>
          </w:p>
        </w:tc>
      </w:tr>
      <w:tr w:rsidR="00933DB7" w:rsidRPr="00735E58" w:rsidTr="000646D1">
        <w:tc>
          <w:tcPr>
            <w:tcW w:w="3168" w:type="dxa"/>
            <w:tcBorders>
              <w:top w:val="single" w:sz="6" w:space="0" w:color="auto"/>
              <w:left w:val="single" w:sz="6" w:space="0" w:color="auto"/>
              <w:right w:val="single" w:sz="6" w:space="0" w:color="auto"/>
            </w:tcBorders>
            <w:shd w:val="clear" w:color="auto" w:fill="DBE5F1" w:themeFill="accent1" w:themeFillTint="33"/>
          </w:tcPr>
          <w:p w:rsidR="00933DB7" w:rsidRPr="00735E58" w:rsidRDefault="00933DB7" w:rsidP="00CD5B2F">
            <w:pPr>
              <w:rPr>
                <w:sz w:val="18"/>
                <w:szCs w:val="18"/>
              </w:rPr>
            </w:pPr>
            <w:r w:rsidRPr="00735E58">
              <w:rPr>
                <w:sz w:val="18"/>
                <w:szCs w:val="18"/>
              </w:rPr>
              <w:t>Price as read out</w:t>
            </w:r>
          </w:p>
        </w:tc>
        <w:tc>
          <w:tcPr>
            <w:tcW w:w="3690" w:type="dxa"/>
            <w:tcBorders>
              <w:top w:val="single" w:sz="6" w:space="0" w:color="auto"/>
              <w:left w:val="single" w:sz="6" w:space="0" w:color="auto"/>
              <w:right w:val="single" w:sz="6" w:space="0" w:color="auto"/>
            </w:tcBorders>
          </w:tcPr>
          <w:p w:rsidR="00933DB7" w:rsidRPr="00735E58" w:rsidRDefault="00933DB7" w:rsidP="00933DB7">
            <w:pPr>
              <w:rPr>
                <w:bCs/>
                <w:sz w:val="18"/>
                <w:szCs w:val="18"/>
              </w:rPr>
            </w:pPr>
            <w:r w:rsidRPr="00735E58">
              <w:rPr>
                <w:bCs/>
                <w:sz w:val="18"/>
                <w:szCs w:val="18"/>
              </w:rPr>
              <w:t xml:space="preserve">AMD 26,645,000 </w:t>
            </w:r>
          </w:p>
        </w:tc>
        <w:tc>
          <w:tcPr>
            <w:tcW w:w="3456" w:type="dxa"/>
            <w:tcBorders>
              <w:top w:val="single" w:sz="6" w:space="0" w:color="auto"/>
              <w:left w:val="single" w:sz="6" w:space="0" w:color="auto"/>
              <w:right w:val="single" w:sz="6" w:space="0" w:color="auto"/>
            </w:tcBorders>
          </w:tcPr>
          <w:p w:rsidR="00933DB7" w:rsidRPr="00735E58" w:rsidRDefault="00933DB7" w:rsidP="00945B9A">
            <w:pPr>
              <w:rPr>
                <w:bCs/>
                <w:sz w:val="18"/>
                <w:szCs w:val="18"/>
              </w:rPr>
            </w:pPr>
            <w:r w:rsidRPr="00735E58">
              <w:rPr>
                <w:bCs/>
                <w:sz w:val="18"/>
                <w:szCs w:val="18"/>
              </w:rPr>
              <w:t xml:space="preserve">AMD 30,917,163 </w:t>
            </w:r>
          </w:p>
        </w:tc>
      </w:tr>
      <w:tr w:rsidR="00933DB7" w:rsidRPr="00735E58" w:rsidTr="000646D1">
        <w:tc>
          <w:tcPr>
            <w:tcW w:w="3168" w:type="dxa"/>
            <w:tcBorders>
              <w:top w:val="single" w:sz="6" w:space="0" w:color="auto"/>
              <w:left w:val="single" w:sz="6" w:space="0" w:color="auto"/>
              <w:right w:val="single" w:sz="6" w:space="0" w:color="auto"/>
            </w:tcBorders>
            <w:shd w:val="clear" w:color="auto" w:fill="DBE5F1" w:themeFill="accent1" w:themeFillTint="33"/>
          </w:tcPr>
          <w:p w:rsidR="00933DB7" w:rsidRPr="00735E58" w:rsidRDefault="00933DB7" w:rsidP="00CD5B2F">
            <w:pPr>
              <w:rPr>
                <w:sz w:val="18"/>
                <w:szCs w:val="18"/>
              </w:rPr>
            </w:pPr>
            <w:r w:rsidRPr="00735E58">
              <w:rPr>
                <w:sz w:val="18"/>
                <w:szCs w:val="18"/>
              </w:rPr>
              <w:t>Final Evaluation Price</w:t>
            </w:r>
          </w:p>
        </w:tc>
        <w:tc>
          <w:tcPr>
            <w:tcW w:w="3690" w:type="dxa"/>
            <w:tcBorders>
              <w:top w:val="single" w:sz="6" w:space="0" w:color="auto"/>
              <w:left w:val="single" w:sz="6" w:space="0" w:color="auto"/>
              <w:right w:val="single" w:sz="6" w:space="0" w:color="auto"/>
            </w:tcBorders>
          </w:tcPr>
          <w:p w:rsidR="00933DB7" w:rsidRPr="00735E58" w:rsidRDefault="00933DB7" w:rsidP="00933DB7">
            <w:pPr>
              <w:rPr>
                <w:bCs/>
                <w:sz w:val="18"/>
                <w:szCs w:val="18"/>
              </w:rPr>
            </w:pPr>
            <w:r w:rsidRPr="00735E58">
              <w:rPr>
                <w:bCs/>
                <w:sz w:val="18"/>
                <w:szCs w:val="18"/>
              </w:rPr>
              <w:t xml:space="preserve">AMD 26,645,000 </w:t>
            </w:r>
          </w:p>
        </w:tc>
        <w:tc>
          <w:tcPr>
            <w:tcW w:w="3456" w:type="dxa"/>
            <w:tcBorders>
              <w:top w:val="single" w:sz="6" w:space="0" w:color="auto"/>
              <w:left w:val="single" w:sz="6" w:space="0" w:color="auto"/>
              <w:right w:val="single" w:sz="6" w:space="0" w:color="auto"/>
            </w:tcBorders>
          </w:tcPr>
          <w:p w:rsidR="00933DB7" w:rsidRPr="00735E58" w:rsidRDefault="00933DB7" w:rsidP="00945B9A">
            <w:pPr>
              <w:rPr>
                <w:bCs/>
                <w:sz w:val="18"/>
                <w:szCs w:val="18"/>
              </w:rPr>
            </w:pPr>
            <w:r w:rsidRPr="00735E58">
              <w:rPr>
                <w:bCs/>
                <w:sz w:val="18"/>
                <w:szCs w:val="18"/>
              </w:rPr>
              <w:t xml:space="preserve">AMD 30,917,163 </w:t>
            </w:r>
          </w:p>
        </w:tc>
      </w:tr>
      <w:tr w:rsidR="00933DB7" w:rsidRPr="00735E58" w:rsidTr="000646D1">
        <w:tc>
          <w:tcPr>
            <w:tcW w:w="3168" w:type="dxa"/>
            <w:tcBorders>
              <w:top w:val="single" w:sz="6" w:space="0" w:color="auto"/>
              <w:left w:val="single" w:sz="6" w:space="0" w:color="auto"/>
              <w:right w:val="single" w:sz="6" w:space="0" w:color="auto"/>
            </w:tcBorders>
            <w:shd w:val="clear" w:color="auto" w:fill="DBE5F1" w:themeFill="accent1" w:themeFillTint="33"/>
          </w:tcPr>
          <w:p w:rsidR="00933DB7" w:rsidRPr="00735E58" w:rsidRDefault="00933DB7" w:rsidP="00CD5B2F">
            <w:pPr>
              <w:rPr>
                <w:sz w:val="18"/>
                <w:szCs w:val="18"/>
              </w:rPr>
            </w:pPr>
            <w:r w:rsidRPr="00735E58">
              <w:rPr>
                <w:sz w:val="18"/>
                <w:szCs w:val="18"/>
              </w:rPr>
              <w:t>Final Negotiated Price</w:t>
            </w:r>
          </w:p>
        </w:tc>
        <w:tc>
          <w:tcPr>
            <w:tcW w:w="3690" w:type="dxa"/>
            <w:tcBorders>
              <w:top w:val="single" w:sz="6" w:space="0" w:color="auto"/>
              <w:left w:val="single" w:sz="6" w:space="0" w:color="auto"/>
              <w:right w:val="single" w:sz="6" w:space="0" w:color="auto"/>
            </w:tcBorders>
          </w:tcPr>
          <w:p w:rsidR="00945B9A" w:rsidRDefault="00945B9A" w:rsidP="000646D1">
            <w:pPr>
              <w:pStyle w:val="ListParagraph"/>
              <w:numPr>
                <w:ilvl w:val="0"/>
                <w:numId w:val="9"/>
              </w:numPr>
              <w:tabs>
                <w:tab w:val="left" w:pos="357"/>
              </w:tabs>
              <w:ind w:left="72" w:firstLine="0"/>
              <w:rPr>
                <w:bCs/>
                <w:sz w:val="18"/>
                <w:szCs w:val="18"/>
              </w:rPr>
            </w:pPr>
            <w:r w:rsidRPr="00945B9A">
              <w:rPr>
                <w:bCs/>
                <w:sz w:val="18"/>
                <w:szCs w:val="18"/>
              </w:rPr>
              <w:t xml:space="preserve">Contract No. CARMAC-CS-16/126 (CARMAC-TF Audit) </w:t>
            </w:r>
            <w:r w:rsidR="000646D1">
              <w:rPr>
                <w:bCs/>
                <w:sz w:val="18"/>
                <w:szCs w:val="18"/>
              </w:rPr>
              <w:t xml:space="preserve"> </w:t>
            </w:r>
            <w:r w:rsidRPr="00945B9A">
              <w:rPr>
                <w:bCs/>
                <w:sz w:val="18"/>
                <w:szCs w:val="18"/>
              </w:rPr>
              <w:t xml:space="preserve">- </w:t>
            </w:r>
            <w:r w:rsidR="000646D1">
              <w:rPr>
                <w:bCs/>
                <w:sz w:val="18"/>
                <w:szCs w:val="18"/>
              </w:rPr>
              <w:t xml:space="preserve"> </w:t>
            </w:r>
            <w:r w:rsidR="00547BBB" w:rsidRPr="000646D1">
              <w:rPr>
                <w:b/>
                <w:bCs/>
                <w:sz w:val="18"/>
                <w:szCs w:val="18"/>
              </w:rPr>
              <w:t>AMD 7,128,000 including VAT</w:t>
            </w:r>
            <w:r w:rsidR="00547BBB" w:rsidRPr="00945B9A">
              <w:rPr>
                <w:bCs/>
                <w:sz w:val="18"/>
                <w:szCs w:val="18"/>
              </w:rPr>
              <w:t xml:space="preserve">; </w:t>
            </w:r>
          </w:p>
          <w:p w:rsidR="00933DB7" w:rsidRPr="00945B9A" w:rsidRDefault="00945B9A" w:rsidP="000646D1">
            <w:pPr>
              <w:pStyle w:val="ListParagraph"/>
              <w:numPr>
                <w:ilvl w:val="0"/>
                <w:numId w:val="9"/>
              </w:numPr>
              <w:tabs>
                <w:tab w:val="left" w:pos="357"/>
              </w:tabs>
              <w:ind w:left="72" w:firstLine="0"/>
              <w:rPr>
                <w:bCs/>
                <w:sz w:val="18"/>
                <w:szCs w:val="18"/>
              </w:rPr>
            </w:pPr>
            <w:r w:rsidRPr="00945B9A">
              <w:rPr>
                <w:bCs/>
                <w:sz w:val="18"/>
                <w:szCs w:val="18"/>
              </w:rPr>
              <w:t>Contract No. CARMAC2-CS-16/12 (CARMAC2 Audit</w:t>
            </w:r>
            <w:r w:rsidRPr="00945B9A">
              <w:rPr>
                <w:sz w:val="18"/>
                <w:szCs w:val="18"/>
              </w:rPr>
              <w:t xml:space="preserve">) </w:t>
            </w:r>
            <w:r w:rsidR="000646D1">
              <w:rPr>
                <w:sz w:val="18"/>
                <w:szCs w:val="18"/>
              </w:rPr>
              <w:t xml:space="preserve">  </w:t>
            </w:r>
            <w:r w:rsidRPr="00945B9A">
              <w:rPr>
                <w:sz w:val="18"/>
                <w:szCs w:val="18"/>
              </w:rPr>
              <w:t xml:space="preserve">- </w:t>
            </w:r>
            <w:r w:rsidR="000646D1">
              <w:rPr>
                <w:sz w:val="18"/>
                <w:szCs w:val="18"/>
              </w:rPr>
              <w:t xml:space="preserve">  </w:t>
            </w:r>
            <w:r w:rsidR="00547BBB" w:rsidRPr="000646D1">
              <w:rPr>
                <w:b/>
                <w:bCs/>
                <w:sz w:val="18"/>
                <w:szCs w:val="18"/>
              </w:rPr>
              <w:t>AMD 24,846,000 including VAT</w:t>
            </w:r>
            <w:r w:rsidR="00547BBB" w:rsidRPr="00945B9A">
              <w:rPr>
                <w:bCs/>
                <w:sz w:val="18"/>
                <w:szCs w:val="18"/>
              </w:rPr>
              <w:t xml:space="preserve"> </w:t>
            </w:r>
            <w:r>
              <w:rPr>
                <w:bCs/>
                <w:sz w:val="18"/>
                <w:szCs w:val="18"/>
              </w:rPr>
              <w:t>.</w:t>
            </w:r>
          </w:p>
        </w:tc>
        <w:tc>
          <w:tcPr>
            <w:tcW w:w="3456" w:type="dxa"/>
            <w:tcBorders>
              <w:top w:val="single" w:sz="6" w:space="0" w:color="auto"/>
              <w:left w:val="single" w:sz="6" w:space="0" w:color="auto"/>
              <w:right w:val="single" w:sz="6" w:space="0" w:color="auto"/>
            </w:tcBorders>
          </w:tcPr>
          <w:p w:rsidR="00933DB7" w:rsidRPr="00735E58" w:rsidRDefault="00933DB7" w:rsidP="00CD5B2F">
            <w:pPr>
              <w:rPr>
                <w:bCs/>
                <w:sz w:val="18"/>
                <w:szCs w:val="18"/>
              </w:rPr>
            </w:pPr>
            <w:r w:rsidRPr="00735E58">
              <w:rPr>
                <w:bCs/>
                <w:sz w:val="18"/>
                <w:szCs w:val="18"/>
              </w:rPr>
              <w:t>-</w:t>
            </w:r>
          </w:p>
        </w:tc>
      </w:tr>
      <w:tr w:rsidR="00933DB7" w:rsidRPr="00735E58" w:rsidTr="000646D1">
        <w:tc>
          <w:tcPr>
            <w:tcW w:w="3168" w:type="dxa"/>
            <w:tcBorders>
              <w:top w:val="single" w:sz="18" w:space="0" w:color="auto"/>
              <w:left w:val="single" w:sz="6" w:space="0" w:color="auto"/>
              <w:bottom w:val="single" w:sz="4" w:space="0" w:color="auto"/>
              <w:right w:val="single" w:sz="6" w:space="0" w:color="auto"/>
            </w:tcBorders>
            <w:shd w:val="clear" w:color="auto" w:fill="DBE5F1" w:themeFill="accent1" w:themeFillTint="33"/>
          </w:tcPr>
          <w:p w:rsidR="00933DB7" w:rsidRPr="00735E58" w:rsidRDefault="00933DB7" w:rsidP="00CD5B2F">
            <w:pPr>
              <w:rPr>
                <w:sz w:val="18"/>
                <w:szCs w:val="18"/>
              </w:rPr>
            </w:pPr>
          </w:p>
          <w:p w:rsidR="00933DB7" w:rsidRPr="00735E58" w:rsidRDefault="00933DB7" w:rsidP="00CD5B2F">
            <w:pPr>
              <w:rPr>
                <w:sz w:val="18"/>
                <w:szCs w:val="18"/>
              </w:rPr>
            </w:pPr>
            <w:r w:rsidRPr="00735E58">
              <w:rPr>
                <w:sz w:val="18"/>
                <w:szCs w:val="18"/>
              </w:rPr>
              <w:t>Rank</w:t>
            </w:r>
          </w:p>
        </w:tc>
        <w:tc>
          <w:tcPr>
            <w:tcW w:w="3690" w:type="dxa"/>
            <w:tcBorders>
              <w:top w:val="single" w:sz="18" w:space="0" w:color="auto"/>
              <w:left w:val="single" w:sz="6" w:space="0" w:color="auto"/>
              <w:bottom w:val="single" w:sz="4" w:space="0" w:color="auto"/>
              <w:right w:val="single" w:sz="6" w:space="0" w:color="auto"/>
            </w:tcBorders>
          </w:tcPr>
          <w:p w:rsidR="00933DB7" w:rsidRPr="00735E58" w:rsidRDefault="00933DB7" w:rsidP="006A4A76">
            <w:pPr>
              <w:jc w:val="center"/>
              <w:rPr>
                <w:sz w:val="18"/>
                <w:szCs w:val="18"/>
              </w:rPr>
            </w:pPr>
            <w:r w:rsidRPr="00735E58">
              <w:rPr>
                <w:sz w:val="18"/>
                <w:szCs w:val="18"/>
              </w:rPr>
              <w:t>1</w:t>
            </w:r>
          </w:p>
        </w:tc>
        <w:tc>
          <w:tcPr>
            <w:tcW w:w="3456" w:type="dxa"/>
            <w:tcBorders>
              <w:top w:val="single" w:sz="18" w:space="0" w:color="auto"/>
              <w:left w:val="single" w:sz="6" w:space="0" w:color="auto"/>
              <w:bottom w:val="single" w:sz="4" w:space="0" w:color="auto"/>
              <w:right w:val="single" w:sz="6" w:space="0" w:color="auto"/>
            </w:tcBorders>
          </w:tcPr>
          <w:p w:rsidR="00933DB7" w:rsidRPr="00735E58" w:rsidRDefault="00933DB7" w:rsidP="006A4A76">
            <w:pPr>
              <w:jc w:val="center"/>
              <w:rPr>
                <w:sz w:val="18"/>
                <w:szCs w:val="18"/>
              </w:rPr>
            </w:pPr>
            <w:r w:rsidRPr="00735E58">
              <w:rPr>
                <w:sz w:val="18"/>
                <w:szCs w:val="18"/>
              </w:rPr>
              <w:t>2</w:t>
            </w:r>
          </w:p>
        </w:tc>
      </w:tr>
    </w:tbl>
    <w:p w:rsidR="00933DB7" w:rsidRPr="00735E58" w:rsidRDefault="00414D9B" w:rsidP="00933DB7">
      <w:pPr>
        <w:tabs>
          <w:tab w:val="left" w:pos="1080"/>
          <w:tab w:val="right" w:leader="dot" w:pos="8640"/>
        </w:tabs>
        <w:overflowPunct w:val="0"/>
        <w:autoSpaceDE w:val="0"/>
        <w:autoSpaceDN w:val="0"/>
        <w:adjustRightInd w:val="0"/>
        <w:ind w:left="18"/>
        <w:jc w:val="both"/>
        <w:textAlignment w:val="baseline"/>
        <w:rPr>
          <w:sz w:val="18"/>
          <w:szCs w:val="18"/>
        </w:rPr>
      </w:pPr>
      <w:r w:rsidRPr="00735E58">
        <w:rPr>
          <w:sz w:val="18"/>
          <w:szCs w:val="18"/>
        </w:rPr>
        <w:t xml:space="preserve">Other Shortlisted Consultant(s)/Firm(s) </w:t>
      </w:r>
      <w:r w:rsidRPr="00735E58">
        <w:rPr>
          <w:b/>
          <w:sz w:val="18"/>
          <w:szCs w:val="18"/>
        </w:rPr>
        <w:t xml:space="preserve">(these will be all that “Proposal submitted =no”): </w:t>
      </w:r>
      <w:r w:rsidR="00933DB7" w:rsidRPr="00735E58">
        <w:rPr>
          <w:sz w:val="18"/>
          <w:szCs w:val="18"/>
        </w:rPr>
        <w:t>ICS Baker Tilly Klitou and Partners SRL (Moldova), PricewaterhouseCoopers Audit sh.p.k. (Albania)</w:t>
      </w:r>
      <w:r w:rsidR="00945B9A">
        <w:rPr>
          <w:sz w:val="18"/>
          <w:szCs w:val="18"/>
        </w:rPr>
        <w:t xml:space="preserve"> and </w:t>
      </w:r>
      <w:r w:rsidR="00933DB7" w:rsidRPr="00735E58">
        <w:rPr>
          <w:sz w:val="18"/>
          <w:szCs w:val="18"/>
        </w:rPr>
        <w:t xml:space="preserve"> PHP Audit CJSC (Armenia)  </w:t>
      </w:r>
    </w:p>
    <w:p w:rsidR="00414D9B" w:rsidRPr="00735E58" w:rsidRDefault="00414D9B" w:rsidP="00414D9B">
      <w:pPr>
        <w:pStyle w:val="NormalWeb"/>
        <w:spacing w:before="120" w:beforeAutospacing="0" w:after="120" w:afterAutospacing="0"/>
        <w:rPr>
          <w:sz w:val="18"/>
          <w:szCs w:val="18"/>
        </w:rPr>
      </w:pPr>
    </w:p>
    <w:p w:rsidR="00414D9B" w:rsidRPr="00735E58" w:rsidRDefault="00414D9B" w:rsidP="00414D9B">
      <w:pPr>
        <w:rPr>
          <w:sz w:val="18"/>
          <w:szCs w:val="18"/>
        </w:rPr>
      </w:pPr>
    </w:p>
    <w:p w:rsidR="00933DB7" w:rsidRPr="00735E58" w:rsidRDefault="00933DB7" w:rsidP="0097689D">
      <w:pPr>
        <w:jc w:val="center"/>
        <w:rPr>
          <w:b/>
        </w:rPr>
      </w:pPr>
    </w:p>
    <w:p w:rsidR="00933DB7" w:rsidRPr="00735E58" w:rsidRDefault="00933DB7" w:rsidP="0097689D">
      <w:pPr>
        <w:jc w:val="center"/>
        <w:rPr>
          <w:b/>
        </w:rPr>
      </w:pPr>
    </w:p>
    <w:p w:rsidR="00506B45" w:rsidRPr="00735E58" w:rsidRDefault="00506B45" w:rsidP="0097689D">
      <w:pPr>
        <w:jc w:val="center"/>
        <w:rPr>
          <w:b/>
        </w:rPr>
      </w:pPr>
    </w:p>
    <w:p w:rsidR="00933DB7" w:rsidRPr="00735E58" w:rsidRDefault="00933DB7" w:rsidP="0097689D">
      <w:pPr>
        <w:jc w:val="center"/>
        <w:rPr>
          <w:b/>
        </w:rPr>
      </w:pPr>
    </w:p>
    <w:p w:rsidR="00933DB7" w:rsidRPr="00735E58" w:rsidRDefault="00933DB7" w:rsidP="0097689D">
      <w:pPr>
        <w:jc w:val="center"/>
        <w:rPr>
          <w:b/>
        </w:rPr>
      </w:pPr>
    </w:p>
    <w:p w:rsidR="00933DB7" w:rsidRPr="00735E58" w:rsidRDefault="00933DB7" w:rsidP="0097689D">
      <w:pPr>
        <w:jc w:val="center"/>
        <w:rPr>
          <w:b/>
        </w:rPr>
      </w:pPr>
    </w:p>
    <w:p w:rsidR="00506B45" w:rsidRPr="00735E58" w:rsidRDefault="00506B45" w:rsidP="0097689D">
      <w:pPr>
        <w:jc w:val="center"/>
        <w:rPr>
          <w:b/>
        </w:rPr>
      </w:pPr>
    </w:p>
    <w:p w:rsidR="00506B45" w:rsidRPr="00735E58" w:rsidRDefault="00506B45" w:rsidP="0097689D">
      <w:pPr>
        <w:jc w:val="center"/>
        <w:rPr>
          <w:b/>
        </w:rPr>
      </w:pPr>
    </w:p>
    <w:p w:rsidR="0097689D" w:rsidRPr="00C730CA" w:rsidRDefault="0097689D" w:rsidP="0097689D">
      <w:pPr>
        <w:jc w:val="center"/>
        <w:rPr>
          <w:rFonts w:ascii="GHEA Grapalat" w:hAnsi="GHEA Grapalat"/>
          <w:b/>
        </w:rPr>
      </w:pPr>
      <w:r w:rsidRPr="00C730CA">
        <w:rPr>
          <w:rFonts w:ascii="GHEA Grapalat" w:hAnsi="GHEA Grapalat"/>
          <w:b/>
          <w:lang w:val="ru-RU"/>
        </w:rPr>
        <w:lastRenderedPageBreak/>
        <w:t xml:space="preserve">ՀՀ ԳՆ </w:t>
      </w:r>
      <w:r w:rsidRPr="00C730CA">
        <w:rPr>
          <w:rFonts w:ascii="GHEA Grapalat" w:hAnsi="GHEA Grapalat"/>
          <w:b/>
        </w:rPr>
        <w:t>«Գյուղատնտեսական ծրագրերի իրականացման գրասենյակ» ՊՀ</w:t>
      </w:r>
    </w:p>
    <w:p w:rsidR="000F5F04" w:rsidRPr="00C730CA" w:rsidRDefault="0097689D" w:rsidP="00AF7403">
      <w:pPr>
        <w:jc w:val="center"/>
        <w:rPr>
          <w:rFonts w:ascii="GHEA Grapalat" w:hAnsi="GHEA Grapalat"/>
          <w:b/>
        </w:rPr>
      </w:pPr>
      <w:r w:rsidRPr="00C730CA">
        <w:rPr>
          <w:rFonts w:ascii="GHEA Grapalat" w:hAnsi="GHEA Grapalat"/>
          <w:b/>
        </w:rPr>
        <w:t>Պայմանագրի Շնորման Ծանուցում</w:t>
      </w:r>
    </w:p>
    <w:p w:rsidR="007C0B3D" w:rsidRPr="00C730CA" w:rsidRDefault="007C0B3D" w:rsidP="00AF7403">
      <w:pPr>
        <w:jc w:val="center"/>
        <w:rPr>
          <w:rFonts w:ascii="GHEA Grapalat" w:hAnsi="GHEA Grapalat"/>
          <w:b/>
          <w:sz w:val="16"/>
          <w:szCs w:val="16"/>
        </w:rPr>
      </w:pPr>
    </w:p>
    <w:p w:rsidR="006607E1" w:rsidRPr="00C730CA" w:rsidRDefault="007C0B3D" w:rsidP="006607E1">
      <w:pPr>
        <w:jc w:val="both"/>
        <w:rPr>
          <w:rFonts w:ascii="GHEA Grapalat" w:hAnsi="GHEA Grapalat"/>
          <w:sz w:val="18"/>
          <w:szCs w:val="18"/>
        </w:rPr>
      </w:pPr>
      <w:r w:rsidRPr="00C730CA">
        <w:rPr>
          <w:rFonts w:ascii="GHEA Grapalat" w:hAnsi="GHEA Grapalat"/>
          <w:b/>
          <w:sz w:val="18"/>
          <w:szCs w:val="18"/>
        </w:rPr>
        <w:t>Ծրագրի անվանումը</w:t>
      </w:r>
      <w:r w:rsidRPr="00C730CA">
        <w:rPr>
          <w:rFonts w:ascii="GHEA Grapalat" w:hAnsi="GHEA Grapalat"/>
          <w:sz w:val="18"/>
          <w:szCs w:val="18"/>
        </w:rPr>
        <w:t xml:space="preserve">՝ </w:t>
      </w:r>
    </w:p>
    <w:p w:rsidR="007C0B3D" w:rsidRPr="00C730CA" w:rsidRDefault="007C0B3D" w:rsidP="007D33B7">
      <w:pPr>
        <w:pStyle w:val="ListParagraph"/>
        <w:numPr>
          <w:ilvl w:val="0"/>
          <w:numId w:val="6"/>
        </w:numPr>
        <w:jc w:val="both"/>
        <w:rPr>
          <w:rFonts w:ascii="GHEA Grapalat" w:hAnsi="GHEA Grapalat"/>
          <w:b/>
          <w:bCs/>
          <w:sz w:val="18"/>
          <w:szCs w:val="18"/>
        </w:rPr>
      </w:pPr>
      <w:r w:rsidRPr="00C730CA">
        <w:rPr>
          <w:rFonts w:ascii="GHEA Grapalat" w:hAnsi="GHEA Grapalat"/>
          <w:bCs/>
          <w:sz w:val="18"/>
          <w:szCs w:val="18"/>
        </w:rPr>
        <w:t xml:space="preserve">Համայնքների </w:t>
      </w:r>
      <w:r w:rsidR="006607E1" w:rsidRPr="00C730CA">
        <w:rPr>
          <w:rFonts w:ascii="GHEA Grapalat" w:hAnsi="GHEA Grapalat"/>
          <w:bCs/>
          <w:sz w:val="18"/>
          <w:szCs w:val="18"/>
        </w:rPr>
        <w:t>գ</w:t>
      </w:r>
      <w:r w:rsidRPr="00C730CA">
        <w:rPr>
          <w:rFonts w:ascii="GHEA Grapalat" w:hAnsi="GHEA Grapalat"/>
          <w:bCs/>
          <w:sz w:val="18"/>
          <w:szCs w:val="18"/>
        </w:rPr>
        <w:t xml:space="preserve">յուղատնտեսական </w:t>
      </w:r>
      <w:r w:rsidR="006607E1" w:rsidRPr="00C730CA">
        <w:rPr>
          <w:rFonts w:ascii="GHEA Grapalat" w:hAnsi="GHEA Grapalat"/>
          <w:bCs/>
          <w:sz w:val="18"/>
          <w:szCs w:val="18"/>
        </w:rPr>
        <w:t>ռ</w:t>
      </w:r>
      <w:r w:rsidRPr="00C730CA">
        <w:rPr>
          <w:rFonts w:ascii="GHEA Grapalat" w:hAnsi="GHEA Grapalat"/>
          <w:bCs/>
          <w:sz w:val="18"/>
          <w:szCs w:val="18"/>
        </w:rPr>
        <w:t xml:space="preserve">եսուրսների </w:t>
      </w:r>
      <w:r w:rsidR="006607E1" w:rsidRPr="00C730CA">
        <w:rPr>
          <w:rFonts w:ascii="GHEA Grapalat" w:hAnsi="GHEA Grapalat"/>
          <w:bCs/>
          <w:sz w:val="18"/>
          <w:szCs w:val="18"/>
        </w:rPr>
        <w:t>կ</w:t>
      </w:r>
      <w:r w:rsidRPr="00C730CA">
        <w:rPr>
          <w:rFonts w:ascii="GHEA Grapalat" w:hAnsi="GHEA Grapalat"/>
          <w:bCs/>
          <w:sz w:val="18"/>
          <w:szCs w:val="18"/>
        </w:rPr>
        <w:t xml:space="preserve">առավարման և </w:t>
      </w:r>
      <w:r w:rsidR="006607E1" w:rsidRPr="00C730CA">
        <w:rPr>
          <w:rFonts w:ascii="GHEA Grapalat" w:hAnsi="GHEA Grapalat"/>
          <w:bCs/>
          <w:sz w:val="18"/>
          <w:szCs w:val="18"/>
        </w:rPr>
        <w:t>մ</w:t>
      </w:r>
      <w:r w:rsidRPr="00C730CA">
        <w:rPr>
          <w:rFonts w:ascii="GHEA Grapalat" w:hAnsi="GHEA Grapalat"/>
          <w:bCs/>
          <w:sz w:val="18"/>
          <w:szCs w:val="18"/>
        </w:rPr>
        <w:t xml:space="preserve">րցունակության </w:t>
      </w:r>
      <w:r w:rsidR="007D33B7" w:rsidRPr="00C730CA">
        <w:rPr>
          <w:rFonts w:ascii="GHEA Grapalat" w:hAnsi="GHEA Grapalat"/>
          <w:bCs/>
          <w:sz w:val="18"/>
          <w:szCs w:val="18"/>
        </w:rPr>
        <w:t xml:space="preserve">(ՀԳՌԿՄ) </w:t>
      </w:r>
      <w:r w:rsidR="006607E1" w:rsidRPr="00C730CA">
        <w:rPr>
          <w:rFonts w:ascii="GHEA Grapalat" w:hAnsi="GHEA Grapalat"/>
          <w:bCs/>
          <w:sz w:val="18"/>
          <w:szCs w:val="18"/>
        </w:rPr>
        <w:t>ծ</w:t>
      </w:r>
      <w:r w:rsidRPr="00C730CA">
        <w:rPr>
          <w:rFonts w:ascii="GHEA Grapalat" w:hAnsi="GHEA Grapalat"/>
          <w:bCs/>
          <w:sz w:val="18"/>
          <w:szCs w:val="18"/>
        </w:rPr>
        <w:t>րագիր</w:t>
      </w:r>
      <w:r w:rsidR="006607E1" w:rsidRPr="00C730CA">
        <w:rPr>
          <w:rFonts w:ascii="GHEA Grapalat" w:hAnsi="GHEA Grapalat"/>
          <w:bCs/>
          <w:sz w:val="18"/>
          <w:szCs w:val="18"/>
        </w:rPr>
        <w:t xml:space="preserve"> </w:t>
      </w:r>
      <w:r w:rsidR="006607E1" w:rsidRPr="00C730CA">
        <w:rPr>
          <w:rFonts w:ascii="GHEA Grapalat" w:hAnsi="GHEA Grapalat"/>
          <w:bCs/>
          <w:iCs/>
          <w:sz w:val="18"/>
          <w:szCs w:val="18"/>
        </w:rPr>
        <w:t>(ՄԶԸ Վարկ No. 4891- AM):</w:t>
      </w:r>
      <w:r w:rsidR="006607E1" w:rsidRPr="00C730CA">
        <w:rPr>
          <w:rFonts w:ascii="GHEA Grapalat" w:hAnsi="GHEA Grapalat"/>
          <w:sz w:val="18"/>
          <w:szCs w:val="18"/>
        </w:rPr>
        <w:t xml:space="preserve"> Ծրագրի համար` P120028:</w:t>
      </w:r>
      <w:r w:rsidR="006607E1" w:rsidRPr="00C730CA">
        <w:rPr>
          <w:rFonts w:ascii="GHEA Grapalat" w:hAnsi="GHEA Grapalat"/>
          <w:b/>
          <w:bCs/>
          <w:sz w:val="18"/>
          <w:szCs w:val="18"/>
        </w:rPr>
        <w:t xml:space="preserve"> </w:t>
      </w:r>
    </w:p>
    <w:p w:rsidR="007C0B3D" w:rsidRPr="00C730CA" w:rsidRDefault="006C50E7" w:rsidP="007D33B7">
      <w:pPr>
        <w:pStyle w:val="ListParagraph"/>
        <w:numPr>
          <w:ilvl w:val="0"/>
          <w:numId w:val="6"/>
        </w:numPr>
        <w:jc w:val="both"/>
        <w:rPr>
          <w:rFonts w:ascii="GHEA Grapalat" w:hAnsi="GHEA Grapalat"/>
          <w:bCs/>
          <w:sz w:val="18"/>
          <w:szCs w:val="18"/>
        </w:rPr>
      </w:pPr>
      <w:r w:rsidRPr="00C730CA">
        <w:rPr>
          <w:rFonts w:ascii="GHEA Grapalat" w:hAnsi="GHEA Grapalat"/>
          <w:bCs/>
          <w:sz w:val="18"/>
          <w:szCs w:val="18"/>
        </w:rPr>
        <w:t xml:space="preserve">«Համայնքների Գյուղատնտեսական ռեսուրսների կառավարման և մրցունակության ծրագրի» համար նախատեսված </w:t>
      </w:r>
      <w:r w:rsidR="007D33B7" w:rsidRPr="00C730CA">
        <w:rPr>
          <w:rFonts w:ascii="GHEA Grapalat" w:hAnsi="GHEA Grapalat"/>
          <w:bCs/>
          <w:sz w:val="18"/>
          <w:szCs w:val="18"/>
        </w:rPr>
        <w:t>Գլոբալ էկոլոգիական հիմնադրամի (ԳԷՀ MSP Դրամաշնորհ No. TF 13724) դրամաշնորհային ծրագիր</w:t>
      </w:r>
      <w:r w:rsidRPr="00C730CA">
        <w:rPr>
          <w:rFonts w:ascii="GHEA Grapalat" w:hAnsi="GHEA Grapalat"/>
          <w:bCs/>
          <w:sz w:val="18"/>
          <w:szCs w:val="18"/>
        </w:rPr>
        <w:t>:</w:t>
      </w:r>
      <w:r w:rsidR="007D33B7" w:rsidRPr="00C730CA">
        <w:rPr>
          <w:rFonts w:ascii="GHEA Grapalat" w:hAnsi="GHEA Grapalat"/>
          <w:bCs/>
          <w:sz w:val="18"/>
          <w:szCs w:val="18"/>
        </w:rPr>
        <w:t xml:space="preserve"> Ծրագրի համար՝ </w:t>
      </w:r>
      <w:r w:rsidR="006607E1" w:rsidRPr="00C730CA">
        <w:rPr>
          <w:rFonts w:ascii="GHEA Grapalat" w:hAnsi="GHEA Grapalat"/>
          <w:bCs/>
          <w:sz w:val="18"/>
          <w:szCs w:val="18"/>
        </w:rPr>
        <w:t>P144283</w:t>
      </w:r>
      <w:r w:rsidR="007D33B7" w:rsidRPr="00C730CA">
        <w:rPr>
          <w:rFonts w:ascii="GHEA Grapalat" w:hAnsi="GHEA Grapalat"/>
          <w:bCs/>
          <w:sz w:val="18"/>
          <w:szCs w:val="18"/>
        </w:rPr>
        <w:t>:</w:t>
      </w:r>
    </w:p>
    <w:p w:rsidR="00966D40" w:rsidRPr="00C730CA" w:rsidRDefault="006607E1" w:rsidP="00506B45">
      <w:pPr>
        <w:pStyle w:val="ListParagraph"/>
        <w:numPr>
          <w:ilvl w:val="0"/>
          <w:numId w:val="6"/>
        </w:numPr>
        <w:jc w:val="both"/>
        <w:rPr>
          <w:rFonts w:ascii="GHEA Grapalat" w:hAnsi="GHEA Grapalat"/>
          <w:sz w:val="18"/>
          <w:szCs w:val="18"/>
          <w:lang w:val="hy-AM"/>
        </w:rPr>
      </w:pPr>
      <w:r w:rsidRPr="00C730CA">
        <w:rPr>
          <w:rFonts w:ascii="GHEA Grapalat" w:hAnsi="GHEA Grapalat"/>
          <w:bCs/>
          <w:sz w:val="18"/>
          <w:szCs w:val="18"/>
        </w:rPr>
        <w:t xml:space="preserve">Համայնքների </w:t>
      </w:r>
      <w:r w:rsidR="009912F2" w:rsidRPr="00C730CA">
        <w:rPr>
          <w:rFonts w:ascii="GHEA Grapalat" w:hAnsi="GHEA Grapalat"/>
          <w:bCs/>
          <w:sz w:val="18"/>
          <w:szCs w:val="18"/>
        </w:rPr>
        <w:t>գ</w:t>
      </w:r>
      <w:r w:rsidRPr="00C730CA">
        <w:rPr>
          <w:rFonts w:ascii="GHEA Grapalat" w:hAnsi="GHEA Grapalat"/>
          <w:bCs/>
          <w:sz w:val="18"/>
          <w:szCs w:val="18"/>
        </w:rPr>
        <w:t xml:space="preserve">յուղատնտեսական </w:t>
      </w:r>
      <w:r w:rsidR="009912F2" w:rsidRPr="00C730CA">
        <w:rPr>
          <w:rFonts w:ascii="GHEA Grapalat" w:hAnsi="GHEA Grapalat"/>
          <w:bCs/>
          <w:sz w:val="18"/>
          <w:szCs w:val="18"/>
        </w:rPr>
        <w:t>ռ</w:t>
      </w:r>
      <w:r w:rsidRPr="00C730CA">
        <w:rPr>
          <w:rFonts w:ascii="GHEA Grapalat" w:hAnsi="GHEA Grapalat"/>
          <w:bCs/>
          <w:sz w:val="18"/>
          <w:szCs w:val="18"/>
        </w:rPr>
        <w:t xml:space="preserve">եսուրսների </w:t>
      </w:r>
      <w:r w:rsidR="009912F2" w:rsidRPr="00C730CA">
        <w:rPr>
          <w:rFonts w:ascii="GHEA Grapalat" w:hAnsi="GHEA Grapalat"/>
          <w:bCs/>
          <w:sz w:val="18"/>
          <w:szCs w:val="18"/>
        </w:rPr>
        <w:t>կ</w:t>
      </w:r>
      <w:r w:rsidRPr="00C730CA">
        <w:rPr>
          <w:rFonts w:ascii="GHEA Grapalat" w:hAnsi="GHEA Grapalat"/>
          <w:bCs/>
          <w:sz w:val="18"/>
          <w:szCs w:val="18"/>
        </w:rPr>
        <w:t xml:space="preserve">առավարման և </w:t>
      </w:r>
      <w:r w:rsidR="009912F2" w:rsidRPr="00C730CA">
        <w:rPr>
          <w:rFonts w:ascii="GHEA Grapalat" w:hAnsi="GHEA Grapalat"/>
          <w:bCs/>
          <w:sz w:val="18"/>
          <w:szCs w:val="18"/>
        </w:rPr>
        <w:t>մ</w:t>
      </w:r>
      <w:r w:rsidRPr="00C730CA">
        <w:rPr>
          <w:rFonts w:ascii="GHEA Grapalat" w:hAnsi="GHEA Grapalat"/>
          <w:bCs/>
          <w:sz w:val="18"/>
          <w:szCs w:val="18"/>
        </w:rPr>
        <w:t>րցունակության երկրորդ</w:t>
      </w:r>
      <w:r w:rsidR="009912F2" w:rsidRPr="00C730CA">
        <w:rPr>
          <w:rFonts w:ascii="GHEA Grapalat" w:hAnsi="GHEA Grapalat"/>
          <w:bCs/>
          <w:sz w:val="18"/>
          <w:szCs w:val="18"/>
        </w:rPr>
        <w:t xml:space="preserve"> (ՀԳՌԿՄ2) </w:t>
      </w:r>
      <w:r w:rsidRPr="00C730CA">
        <w:rPr>
          <w:rFonts w:ascii="GHEA Grapalat" w:hAnsi="GHEA Grapalat"/>
          <w:bCs/>
          <w:sz w:val="18"/>
          <w:szCs w:val="18"/>
        </w:rPr>
        <w:t xml:space="preserve"> </w:t>
      </w:r>
      <w:r w:rsidR="009912F2" w:rsidRPr="00C730CA">
        <w:rPr>
          <w:rFonts w:ascii="GHEA Grapalat" w:hAnsi="GHEA Grapalat"/>
          <w:bCs/>
          <w:sz w:val="18"/>
          <w:szCs w:val="18"/>
        </w:rPr>
        <w:t>ծ</w:t>
      </w:r>
      <w:r w:rsidRPr="00C730CA">
        <w:rPr>
          <w:rFonts w:ascii="GHEA Grapalat" w:hAnsi="GHEA Grapalat"/>
          <w:bCs/>
          <w:sz w:val="18"/>
          <w:szCs w:val="18"/>
        </w:rPr>
        <w:t xml:space="preserve">րագիր </w:t>
      </w:r>
      <w:r w:rsidR="009912F2" w:rsidRPr="00C730CA">
        <w:rPr>
          <w:rFonts w:ascii="GHEA Grapalat" w:hAnsi="GHEA Grapalat"/>
          <w:bCs/>
          <w:sz w:val="18"/>
          <w:szCs w:val="18"/>
        </w:rPr>
        <w:t xml:space="preserve">(ԶՎՄԲ փոխառություն No. 8374-AM, ՄԶԸ Վարկ No. 5504-AM և  5505-AM): </w:t>
      </w:r>
      <w:r w:rsidR="009912F2" w:rsidRPr="00C730CA">
        <w:rPr>
          <w:rFonts w:ascii="GHEA Grapalat" w:hAnsi="GHEA Grapalat"/>
          <w:sz w:val="18"/>
          <w:szCs w:val="18"/>
        </w:rPr>
        <w:t xml:space="preserve">Ծրագրի համար` </w:t>
      </w:r>
      <w:r w:rsidR="009912F2" w:rsidRPr="00C730CA">
        <w:rPr>
          <w:rFonts w:ascii="GHEA Grapalat" w:hAnsi="GHEA Grapalat"/>
          <w:bCs/>
          <w:sz w:val="18"/>
          <w:szCs w:val="18"/>
        </w:rPr>
        <w:t>P133705:</w:t>
      </w:r>
    </w:p>
    <w:p w:rsidR="00506B45" w:rsidRPr="00C730CA" w:rsidRDefault="00506B45" w:rsidP="00506B45">
      <w:pPr>
        <w:pStyle w:val="ListParagraph"/>
        <w:jc w:val="both"/>
        <w:rPr>
          <w:rFonts w:ascii="GHEA Grapalat" w:hAnsi="GHEA Grapalat"/>
          <w:sz w:val="18"/>
          <w:szCs w:val="18"/>
          <w:lang w:val="hy-AM"/>
        </w:rPr>
      </w:pPr>
    </w:p>
    <w:tbl>
      <w:tblPr>
        <w:tblStyle w:val="TableGrid"/>
        <w:tblW w:w="0" w:type="auto"/>
        <w:tblLayout w:type="fixed"/>
        <w:tblLook w:val="04A0"/>
      </w:tblPr>
      <w:tblGrid>
        <w:gridCol w:w="1458"/>
        <w:gridCol w:w="6570"/>
        <w:gridCol w:w="1440"/>
        <w:gridCol w:w="828"/>
      </w:tblGrid>
      <w:tr w:rsidR="00B018F1" w:rsidRPr="00C730CA" w:rsidTr="00C730CA">
        <w:tc>
          <w:tcPr>
            <w:tcW w:w="1458" w:type="dxa"/>
            <w:tcBorders>
              <w:bottom w:val="nil"/>
            </w:tcBorders>
            <w:shd w:val="clear" w:color="auto" w:fill="DBE5F1" w:themeFill="accent1" w:themeFillTint="33"/>
          </w:tcPr>
          <w:p w:rsidR="00B018F1" w:rsidRPr="00C730CA" w:rsidRDefault="0097689D" w:rsidP="00FE1F89">
            <w:pPr>
              <w:pStyle w:val="NormalWeb"/>
              <w:rPr>
                <w:rFonts w:ascii="GHEA Grapalat" w:hAnsi="GHEA Grapalat"/>
                <w:sz w:val="18"/>
                <w:szCs w:val="18"/>
              </w:rPr>
            </w:pPr>
            <w:proofErr w:type="spellStart"/>
            <w:r w:rsidRPr="00C730CA">
              <w:rPr>
                <w:rFonts w:ascii="GHEA Grapalat" w:eastAsia="Calibri" w:hAnsi="GHEA Grapalat"/>
                <w:sz w:val="18"/>
                <w:szCs w:val="18"/>
              </w:rPr>
              <w:t>Պայմանագրի</w:t>
            </w:r>
            <w:proofErr w:type="spellEnd"/>
            <w:r w:rsidRPr="00C730CA">
              <w:rPr>
                <w:rFonts w:ascii="GHEA Grapalat" w:eastAsia="Calibri" w:hAnsi="GHEA Grapalat"/>
                <w:sz w:val="18"/>
                <w:szCs w:val="18"/>
              </w:rPr>
              <w:t xml:space="preserve"> </w:t>
            </w:r>
            <w:proofErr w:type="spellStart"/>
            <w:r w:rsidRPr="00C730CA">
              <w:rPr>
                <w:rFonts w:ascii="GHEA Grapalat" w:eastAsia="Calibri" w:hAnsi="GHEA Grapalat"/>
                <w:sz w:val="18"/>
                <w:szCs w:val="18"/>
              </w:rPr>
              <w:t>շրջանակը</w:t>
            </w:r>
            <w:proofErr w:type="spellEnd"/>
          </w:p>
        </w:tc>
        <w:tc>
          <w:tcPr>
            <w:tcW w:w="6570" w:type="dxa"/>
            <w:tcBorders>
              <w:bottom w:val="nil"/>
            </w:tcBorders>
          </w:tcPr>
          <w:p w:rsidR="00547BBB" w:rsidRPr="00C730CA" w:rsidRDefault="00547BBB" w:rsidP="00547BBB">
            <w:pPr>
              <w:ind w:left="-90" w:firstLine="90"/>
              <w:rPr>
                <w:rFonts w:ascii="GHEA Grapalat" w:hAnsi="GHEA Grapalat"/>
                <w:b/>
                <w:sz w:val="18"/>
                <w:szCs w:val="18"/>
                <w:u w:val="single"/>
              </w:rPr>
            </w:pPr>
            <w:r w:rsidRPr="00C730CA">
              <w:rPr>
                <w:rFonts w:ascii="GHEA Grapalat" w:hAnsi="GHEA Grapalat"/>
                <w:b/>
                <w:sz w:val="18"/>
                <w:szCs w:val="18"/>
                <w:u w:val="single"/>
              </w:rPr>
              <w:t xml:space="preserve">Պայմանագիր No. CARMAC-CS-16/126 (CARMAC-TF Audit) </w:t>
            </w:r>
          </w:p>
          <w:p w:rsidR="007D33B7" w:rsidRPr="00C730CA" w:rsidRDefault="007D33B7" w:rsidP="00FF795F">
            <w:pPr>
              <w:rPr>
                <w:rFonts w:ascii="GHEA Grapalat" w:hAnsi="GHEA Grapalat"/>
                <w:bCs/>
                <w:sz w:val="18"/>
                <w:szCs w:val="18"/>
              </w:rPr>
            </w:pPr>
            <w:r w:rsidRPr="00C730CA">
              <w:rPr>
                <w:rFonts w:ascii="GHEA Grapalat" w:hAnsi="GHEA Grapalat"/>
                <w:bCs/>
                <w:sz w:val="18"/>
                <w:szCs w:val="18"/>
              </w:rPr>
              <w:t>ՀԳՌԿՄ</w:t>
            </w:r>
            <w:r w:rsidR="009912F2" w:rsidRPr="00C730CA">
              <w:rPr>
                <w:rFonts w:ascii="GHEA Grapalat" w:hAnsi="GHEA Grapalat"/>
                <w:bCs/>
                <w:sz w:val="18"/>
                <w:szCs w:val="18"/>
              </w:rPr>
              <w:t xml:space="preserve"> </w:t>
            </w:r>
            <w:r w:rsidRPr="00C730CA">
              <w:rPr>
                <w:rFonts w:ascii="GHEA Grapalat" w:hAnsi="GHEA Grapalat"/>
                <w:bCs/>
                <w:sz w:val="18"/>
                <w:szCs w:val="18"/>
              </w:rPr>
              <w:t>ծրագրի Աուդիտ</w:t>
            </w:r>
            <w:r w:rsidR="006C50E7" w:rsidRPr="00C730CA">
              <w:rPr>
                <w:rFonts w:ascii="GHEA Grapalat" w:hAnsi="GHEA Grapalat"/>
                <w:bCs/>
                <w:sz w:val="18"/>
                <w:szCs w:val="18"/>
              </w:rPr>
              <w:t>՝</w:t>
            </w:r>
            <w:r w:rsidRPr="00C730CA">
              <w:rPr>
                <w:rFonts w:ascii="GHEA Grapalat" w:hAnsi="GHEA Grapalat"/>
                <w:bCs/>
                <w:i/>
                <w:iCs/>
                <w:color w:val="0000FF"/>
                <w:sz w:val="18"/>
                <w:szCs w:val="18"/>
              </w:rPr>
              <w:t xml:space="preserve"> </w:t>
            </w:r>
            <w:r w:rsidRPr="00C730CA">
              <w:rPr>
                <w:rFonts w:ascii="GHEA Grapalat" w:hAnsi="GHEA Grapalat"/>
                <w:bCs/>
                <w:sz w:val="18"/>
                <w:szCs w:val="18"/>
              </w:rPr>
              <w:t>2015թ. մինչև դեկտեմբերի 31-ը ընկած ժամանակա</w:t>
            </w:r>
            <w:r w:rsidR="006C50E7" w:rsidRPr="00C730CA">
              <w:rPr>
                <w:rFonts w:ascii="GHEA Grapalat" w:hAnsi="GHEA Grapalat"/>
                <w:bCs/>
                <w:sz w:val="18"/>
                <w:szCs w:val="18"/>
              </w:rPr>
              <w:t>հատվածի</w:t>
            </w:r>
            <w:r w:rsidR="00945B9A" w:rsidRPr="00C730CA">
              <w:rPr>
                <w:rFonts w:ascii="GHEA Grapalat" w:hAnsi="GHEA Grapalat"/>
                <w:bCs/>
                <w:sz w:val="18"/>
                <w:szCs w:val="18"/>
              </w:rPr>
              <w:t xml:space="preserve"> համար</w:t>
            </w:r>
            <w:r w:rsidR="006C50E7" w:rsidRPr="00C730CA">
              <w:rPr>
                <w:rFonts w:ascii="GHEA Grapalat" w:hAnsi="GHEA Grapalat"/>
                <w:bCs/>
                <w:sz w:val="18"/>
                <w:szCs w:val="18"/>
              </w:rPr>
              <w:t xml:space="preserve"> և 2016թ. հունվարի 01 մինչև 2016թ. սեպտեմբերի 30</w:t>
            </w:r>
            <w:r w:rsidR="00C730CA" w:rsidRPr="00C730CA">
              <w:rPr>
                <w:rFonts w:ascii="GHEA Grapalat" w:hAnsi="GHEA Grapalat"/>
                <w:bCs/>
                <w:sz w:val="18"/>
                <w:szCs w:val="18"/>
              </w:rPr>
              <w:t xml:space="preserve"> (ներառյալ արտոնյալ ժամկետը) </w:t>
            </w:r>
            <w:r w:rsidR="006C50E7" w:rsidRPr="00C730CA">
              <w:rPr>
                <w:rFonts w:ascii="GHEA Grapalat" w:hAnsi="GHEA Grapalat"/>
                <w:bCs/>
                <w:sz w:val="18"/>
                <w:szCs w:val="18"/>
              </w:rPr>
              <w:t xml:space="preserve"> ժամանակhատվածի համար</w:t>
            </w:r>
            <w:r w:rsidR="00C730CA" w:rsidRPr="00C730CA">
              <w:rPr>
                <w:rFonts w:ascii="GHEA Grapalat" w:hAnsi="GHEA Grapalat"/>
                <w:bCs/>
                <w:sz w:val="18"/>
                <w:szCs w:val="18"/>
              </w:rPr>
              <w:t>, ինչպես նա</w:t>
            </w:r>
            <w:r w:rsidR="006C50E7" w:rsidRPr="00C730CA">
              <w:rPr>
                <w:rFonts w:ascii="GHEA Grapalat" w:hAnsi="GHEA Grapalat"/>
                <w:bCs/>
                <w:sz w:val="18"/>
                <w:szCs w:val="18"/>
              </w:rPr>
              <w:t xml:space="preserve">և </w:t>
            </w:r>
            <w:r w:rsidR="006C50E7" w:rsidRPr="00C730CA">
              <w:rPr>
                <w:rFonts w:ascii="GHEA Grapalat" w:hAnsi="GHEA Grapalat"/>
                <w:bCs/>
                <w:i/>
                <w:iCs/>
                <w:color w:val="0000FF"/>
                <w:sz w:val="18"/>
                <w:szCs w:val="18"/>
              </w:rPr>
              <w:t xml:space="preserve"> </w:t>
            </w:r>
            <w:r w:rsidR="006C50E7" w:rsidRPr="00C730CA">
              <w:rPr>
                <w:rFonts w:ascii="GHEA Grapalat" w:hAnsi="GHEA Grapalat"/>
                <w:bCs/>
                <w:sz w:val="18"/>
                <w:szCs w:val="18"/>
              </w:rPr>
              <w:t>ՀԳՌԿՄծրագրի համար</w:t>
            </w:r>
            <w:r w:rsidR="006C50E7" w:rsidRPr="00C730CA">
              <w:rPr>
                <w:rFonts w:ascii="GHEA Grapalat" w:hAnsi="GHEA Grapalat"/>
                <w:sz w:val="18"/>
                <w:szCs w:val="18"/>
                <w:lang w:val="hy-AM"/>
              </w:rPr>
              <w:t xml:space="preserve"> </w:t>
            </w:r>
            <w:r w:rsidR="006C50E7" w:rsidRPr="00C730CA">
              <w:rPr>
                <w:rFonts w:ascii="GHEA Grapalat" w:hAnsi="GHEA Grapalat"/>
                <w:bCs/>
                <w:sz w:val="18"/>
                <w:szCs w:val="18"/>
              </w:rPr>
              <w:t>նախատեսված Գլոբալ էկոլոգիական հիմնադրամի (ԳԷՀ MSP Դրամաշնորհ No. TF 13724) դրամաշնորհային ծրագրի</w:t>
            </w:r>
            <w:r w:rsidR="006C50E7" w:rsidRPr="00C730CA">
              <w:rPr>
                <w:rFonts w:ascii="GHEA Grapalat" w:hAnsi="GHEA Grapalat"/>
                <w:sz w:val="18"/>
                <w:szCs w:val="18"/>
              </w:rPr>
              <w:t xml:space="preserve"> </w:t>
            </w:r>
            <w:r w:rsidR="009912F2" w:rsidRPr="00C730CA">
              <w:rPr>
                <w:rFonts w:ascii="GHEA Grapalat" w:hAnsi="GHEA Grapalat"/>
                <w:bCs/>
                <w:sz w:val="18"/>
                <w:szCs w:val="18"/>
              </w:rPr>
              <w:t xml:space="preserve">Աուդիտ՝ 2015թ. մինչև դեկտեմբերի 31-ը ընկած ժամանակահատվածի համար և 2016թ. հունվարի 01 մինչև 2016թ. դեկտեմբերի 11 </w:t>
            </w:r>
            <w:r w:rsidR="00C730CA" w:rsidRPr="00C730CA">
              <w:rPr>
                <w:rFonts w:ascii="GHEA Grapalat" w:hAnsi="GHEA Grapalat"/>
                <w:bCs/>
                <w:sz w:val="18"/>
                <w:szCs w:val="18"/>
              </w:rPr>
              <w:t xml:space="preserve">(ներառյալ արտոնյալ ժամկետը) </w:t>
            </w:r>
            <w:r w:rsidR="009912F2" w:rsidRPr="00C730CA">
              <w:rPr>
                <w:rFonts w:ascii="GHEA Grapalat" w:hAnsi="GHEA Grapalat"/>
                <w:bCs/>
                <w:sz w:val="18"/>
                <w:szCs w:val="18"/>
              </w:rPr>
              <w:t>ժամանակhատվածի համար:</w:t>
            </w:r>
          </w:p>
          <w:p w:rsidR="00547BBB" w:rsidRPr="00C730CA" w:rsidRDefault="007D33B7" w:rsidP="00547BBB">
            <w:pPr>
              <w:ind w:left="-90" w:firstLine="90"/>
              <w:rPr>
                <w:rFonts w:ascii="GHEA Grapalat" w:hAnsi="GHEA Grapalat"/>
                <w:bCs/>
                <w:i/>
                <w:iCs/>
                <w:color w:val="0000FF"/>
                <w:sz w:val="18"/>
                <w:szCs w:val="18"/>
              </w:rPr>
            </w:pPr>
            <w:r w:rsidRPr="00C730CA">
              <w:rPr>
                <w:rFonts w:ascii="GHEA Grapalat" w:hAnsi="GHEA Grapalat"/>
                <w:bCs/>
                <w:i/>
                <w:iCs/>
                <w:color w:val="0000FF"/>
                <w:sz w:val="18"/>
                <w:szCs w:val="18"/>
              </w:rPr>
              <w:t xml:space="preserve"> </w:t>
            </w:r>
            <w:r w:rsidR="00547BBB" w:rsidRPr="00C730CA">
              <w:rPr>
                <w:rFonts w:ascii="GHEA Grapalat" w:hAnsi="GHEA Grapalat"/>
                <w:b/>
                <w:sz w:val="18"/>
                <w:szCs w:val="18"/>
                <w:u w:val="single"/>
              </w:rPr>
              <w:t>Պայմանագիր No. CARMAC2-CS-16/12 (CARMAC2 Audit)</w:t>
            </w:r>
          </w:p>
          <w:p w:rsidR="00B018F1" w:rsidRPr="00C730CA" w:rsidRDefault="009912F2" w:rsidP="00C730CA">
            <w:pPr>
              <w:rPr>
                <w:rFonts w:ascii="GHEA Grapalat" w:hAnsi="GHEA Grapalat"/>
                <w:i/>
                <w:color w:val="548DD4" w:themeColor="text2" w:themeTint="99"/>
                <w:sz w:val="18"/>
                <w:szCs w:val="18"/>
              </w:rPr>
            </w:pPr>
            <w:r w:rsidRPr="00C730CA">
              <w:rPr>
                <w:rFonts w:ascii="GHEA Grapalat" w:hAnsi="GHEA Grapalat"/>
                <w:bCs/>
                <w:sz w:val="18"/>
                <w:szCs w:val="18"/>
              </w:rPr>
              <w:t xml:space="preserve">ՀԳՌԿՄ2 ծրագրի </w:t>
            </w:r>
            <w:r w:rsidR="00C730CA" w:rsidRPr="00C730CA">
              <w:rPr>
                <w:rFonts w:ascii="GHEA Grapalat" w:hAnsi="GHEA Grapalat"/>
                <w:bCs/>
                <w:sz w:val="18"/>
                <w:szCs w:val="18"/>
              </w:rPr>
              <w:t xml:space="preserve">յուրաքանչյուր տարվա համար </w:t>
            </w:r>
            <w:r w:rsidRPr="00C730CA">
              <w:rPr>
                <w:rFonts w:ascii="GHEA Grapalat" w:hAnsi="GHEA Grapalat"/>
                <w:bCs/>
                <w:sz w:val="18"/>
                <w:szCs w:val="18"/>
              </w:rPr>
              <w:t>Աուդիտ</w:t>
            </w:r>
            <w:r w:rsidR="00E7573C" w:rsidRPr="00C730CA">
              <w:rPr>
                <w:rFonts w:ascii="GHEA Grapalat" w:hAnsi="GHEA Grapalat"/>
                <w:bCs/>
                <w:sz w:val="18"/>
                <w:szCs w:val="18"/>
              </w:rPr>
              <w:t xml:space="preserve">՝ </w:t>
            </w:r>
            <w:r w:rsidRPr="00C730CA">
              <w:rPr>
                <w:rFonts w:ascii="GHEA Grapalat" w:hAnsi="GHEA Grapalat"/>
                <w:bCs/>
                <w:sz w:val="18"/>
                <w:szCs w:val="18"/>
              </w:rPr>
              <w:t xml:space="preserve">2015թ. հունվարի 23 մինչև 2015թ. դեկտեմբերի 31 </w:t>
            </w:r>
            <w:r w:rsidR="00C730CA">
              <w:rPr>
                <w:rFonts w:ascii="GHEA Grapalat" w:hAnsi="GHEA Grapalat"/>
                <w:bCs/>
                <w:sz w:val="18"/>
                <w:szCs w:val="18"/>
              </w:rPr>
              <w:t xml:space="preserve">ընկած </w:t>
            </w:r>
            <w:r w:rsidRPr="00C730CA">
              <w:rPr>
                <w:rFonts w:ascii="GHEA Grapalat" w:hAnsi="GHEA Grapalat"/>
                <w:bCs/>
                <w:sz w:val="18"/>
                <w:szCs w:val="18"/>
              </w:rPr>
              <w:t>ժամանակhատվածի</w:t>
            </w:r>
            <w:r w:rsidR="00C730CA">
              <w:rPr>
                <w:rFonts w:ascii="GHEA Grapalat" w:hAnsi="GHEA Grapalat"/>
                <w:bCs/>
                <w:sz w:val="18"/>
                <w:szCs w:val="18"/>
              </w:rPr>
              <w:t xml:space="preserve"> համար</w:t>
            </w:r>
            <w:r w:rsidR="00E7573C" w:rsidRPr="00C730CA">
              <w:rPr>
                <w:rFonts w:ascii="GHEA Grapalat" w:hAnsi="GHEA Grapalat"/>
                <w:bCs/>
                <w:sz w:val="18"/>
                <w:szCs w:val="18"/>
              </w:rPr>
              <w:t>,</w:t>
            </w:r>
            <w:r w:rsidRPr="00C730CA">
              <w:rPr>
                <w:rFonts w:ascii="GHEA Grapalat" w:hAnsi="GHEA Grapalat"/>
                <w:bCs/>
                <w:sz w:val="18"/>
                <w:szCs w:val="18"/>
              </w:rPr>
              <w:t xml:space="preserve"> </w:t>
            </w:r>
            <w:r w:rsidR="00E7573C" w:rsidRPr="00C730CA">
              <w:rPr>
                <w:rFonts w:ascii="GHEA Grapalat" w:hAnsi="GHEA Grapalat"/>
                <w:bCs/>
                <w:sz w:val="18"/>
                <w:szCs w:val="18"/>
              </w:rPr>
              <w:t>2016թ. մինչև դեկտեմբերի 31-ը, 2017թ. մինչև դեկտեմբերի 31-ը,  2018թ. մինչև դեկտեմբերի 31-ը,  2019թ. մինչև դեկտեմբերի 31-ը ընկած ժամանակահատվածներ</w:t>
            </w:r>
            <w:r w:rsidR="00C730CA" w:rsidRPr="00C730CA">
              <w:rPr>
                <w:rFonts w:ascii="GHEA Grapalat" w:hAnsi="GHEA Grapalat"/>
                <w:bCs/>
                <w:sz w:val="18"/>
                <w:szCs w:val="18"/>
              </w:rPr>
              <w:t>ի համար</w:t>
            </w:r>
            <w:r w:rsidR="00E7573C" w:rsidRPr="00C730CA">
              <w:rPr>
                <w:rFonts w:ascii="GHEA Grapalat" w:hAnsi="GHEA Grapalat"/>
                <w:bCs/>
                <w:sz w:val="18"/>
                <w:szCs w:val="18"/>
              </w:rPr>
              <w:t xml:space="preserve"> և 2020թ. հունվարի 01-ից մինչև մայիսի 31-ը </w:t>
            </w:r>
            <w:r w:rsidR="00C730CA">
              <w:rPr>
                <w:rFonts w:ascii="GHEA Grapalat" w:hAnsi="GHEA Grapalat"/>
                <w:bCs/>
                <w:sz w:val="18"/>
                <w:szCs w:val="18"/>
              </w:rPr>
              <w:t xml:space="preserve"> </w:t>
            </w:r>
            <w:r w:rsidR="00C730CA" w:rsidRPr="00C730CA">
              <w:rPr>
                <w:rFonts w:ascii="GHEA Grapalat" w:hAnsi="GHEA Grapalat"/>
                <w:bCs/>
                <w:sz w:val="18"/>
                <w:szCs w:val="18"/>
              </w:rPr>
              <w:t xml:space="preserve">(ներառյալ արտոնյալ ժամկետը) </w:t>
            </w:r>
            <w:r w:rsidR="00E7573C" w:rsidRPr="00C730CA">
              <w:rPr>
                <w:rFonts w:ascii="GHEA Grapalat" w:hAnsi="GHEA Grapalat"/>
                <w:bCs/>
                <w:sz w:val="18"/>
                <w:szCs w:val="18"/>
              </w:rPr>
              <w:t>ընկած ժամանակահատվածի համար:</w:t>
            </w:r>
          </w:p>
        </w:tc>
        <w:tc>
          <w:tcPr>
            <w:tcW w:w="1440" w:type="dxa"/>
            <w:tcBorders>
              <w:bottom w:val="nil"/>
            </w:tcBorders>
            <w:shd w:val="clear" w:color="auto" w:fill="DBE5F1" w:themeFill="accent1" w:themeFillTint="33"/>
          </w:tcPr>
          <w:p w:rsidR="00B018F1" w:rsidRPr="00C730CA" w:rsidRDefault="00622430" w:rsidP="008352D4">
            <w:pPr>
              <w:pStyle w:val="NormalWeb"/>
              <w:rPr>
                <w:rFonts w:ascii="GHEA Grapalat" w:hAnsi="GHEA Grapalat"/>
                <w:sz w:val="18"/>
                <w:szCs w:val="18"/>
              </w:rPr>
            </w:pPr>
            <w:proofErr w:type="spellStart"/>
            <w:r w:rsidRPr="00C730CA">
              <w:rPr>
                <w:rFonts w:ascii="GHEA Grapalat" w:eastAsia="Calibri" w:hAnsi="GHEA Grapalat"/>
                <w:sz w:val="18"/>
                <w:szCs w:val="18"/>
              </w:rPr>
              <w:t>Տեխնիկական</w:t>
            </w:r>
            <w:proofErr w:type="spellEnd"/>
            <w:r w:rsidRPr="00C730CA">
              <w:rPr>
                <w:rFonts w:ascii="GHEA Grapalat" w:eastAsia="Calibri" w:hAnsi="GHEA Grapalat"/>
                <w:sz w:val="18"/>
                <w:szCs w:val="18"/>
              </w:rPr>
              <w:t xml:space="preserve"> </w:t>
            </w:r>
            <w:proofErr w:type="spellStart"/>
            <w:r w:rsidRPr="00C730CA">
              <w:rPr>
                <w:rFonts w:ascii="GHEA Grapalat" w:eastAsia="Calibri" w:hAnsi="GHEA Grapalat"/>
                <w:sz w:val="18"/>
                <w:szCs w:val="18"/>
              </w:rPr>
              <w:t>միավորների</w:t>
            </w:r>
            <w:proofErr w:type="spellEnd"/>
            <w:r w:rsidRPr="00C730CA">
              <w:rPr>
                <w:rFonts w:ascii="GHEA Grapalat" w:eastAsia="Calibri" w:hAnsi="GHEA Grapalat"/>
                <w:sz w:val="18"/>
                <w:szCs w:val="18"/>
              </w:rPr>
              <w:t xml:space="preserve"> </w:t>
            </w:r>
            <w:proofErr w:type="spellStart"/>
            <w:r w:rsidRPr="00C730CA">
              <w:rPr>
                <w:rFonts w:ascii="GHEA Grapalat" w:eastAsia="Calibri" w:hAnsi="GHEA Grapalat"/>
                <w:sz w:val="18"/>
                <w:szCs w:val="18"/>
              </w:rPr>
              <w:t>նվազագույն</w:t>
            </w:r>
            <w:proofErr w:type="spellEnd"/>
            <w:r w:rsidRPr="00C730CA">
              <w:rPr>
                <w:rFonts w:ascii="GHEA Grapalat" w:eastAsia="Calibri" w:hAnsi="GHEA Grapalat"/>
                <w:sz w:val="18"/>
                <w:szCs w:val="18"/>
              </w:rPr>
              <w:t xml:space="preserve"> </w:t>
            </w:r>
            <w:proofErr w:type="spellStart"/>
            <w:r w:rsidR="008352D4" w:rsidRPr="00C730CA">
              <w:rPr>
                <w:rFonts w:ascii="GHEA Grapalat" w:eastAsia="Calibri" w:hAnsi="GHEA Grapalat"/>
                <w:sz w:val="18"/>
                <w:szCs w:val="18"/>
              </w:rPr>
              <w:t>գումարը</w:t>
            </w:r>
            <w:proofErr w:type="spellEnd"/>
          </w:p>
        </w:tc>
        <w:tc>
          <w:tcPr>
            <w:tcW w:w="828" w:type="dxa"/>
            <w:tcBorders>
              <w:bottom w:val="nil"/>
            </w:tcBorders>
          </w:tcPr>
          <w:p w:rsidR="00B018F1" w:rsidRPr="00C730CA" w:rsidRDefault="000F5F04" w:rsidP="00FF795F">
            <w:pPr>
              <w:rPr>
                <w:rFonts w:ascii="GHEA Grapalat" w:hAnsi="GHEA Grapalat"/>
                <w:b/>
                <w:i/>
                <w:color w:val="548DD4" w:themeColor="text2" w:themeTint="99"/>
                <w:sz w:val="18"/>
                <w:szCs w:val="18"/>
                <w:lang w:val="hy-AM"/>
              </w:rPr>
            </w:pPr>
            <w:r w:rsidRPr="00C730CA">
              <w:rPr>
                <w:rFonts w:ascii="GHEA Grapalat" w:hAnsi="GHEA Grapalat"/>
                <w:b/>
                <w:bCs/>
                <w:sz w:val="18"/>
                <w:szCs w:val="18"/>
              </w:rPr>
              <w:t>75.00</w:t>
            </w:r>
          </w:p>
        </w:tc>
      </w:tr>
    </w:tbl>
    <w:tbl>
      <w:tblPr>
        <w:tblW w:w="10314" w:type="dxa"/>
        <w:tblLayout w:type="fixed"/>
        <w:tblLook w:val="0000"/>
      </w:tblPr>
      <w:tblGrid>
        <w:gridCol w:w="3978"/>
        <w:gridCol w:w="3510"/>
        <w:gridCol w:w="2826"/>
      </w:tblGrid>
      <w:tr w:rsidR="00AB3A04" w:rsidRPr="00C730CA" w:rsidTr="00C730CA">
        <w:tc>
          <w:tcPr>
            <w:tcW w:w="3978" w:type="dxa"/>
            <w:tcBorders>
              <w:top w:val="single" w:sz="6" w:space="0" w:color="auto"/>
              <w:left w:val="single" w:sz="6" w:space="0" w:color="auto"/>
              <w:bottom w:val="single" w:sz="6" w:space="0" w:color="auto"/>
            </w:tcBorders>
            <w:shd w:val="clear" w:color="auto" w:fill="DBE5F1" w:themeFill="accent1" w:themeFillTint="33"/>
          </w:tcPr>
          <w:p w:rsidR="00AB3A04" w:rsidRPr="00C730CA" w:rsidRDefault="00AB3A04" w:rsidP="00622430">
            <w:pPr>
              <w:pStyle w:val="NormalWeb"/>
              <w:rPr>
                <w:rFonts w:ascii="GHEA Grapalat" w:hAnsi="GHEA Grapalat"/>
                <w:sz w:val="18"/>
                <w:szCs w:val="18"/>
                <w:lang w:val="hy-AM"/>
              </w:rPr>
            </w:pPr>
            <w:proofErr w:type="spellStart"/>
            <w:r w:rsidRPr="00C730CA">
              <w:rPr>
                <w:rFonts w:ascii="GHEA Grapalat" w:eastAsia="Calibri" w:hAnsi="GHEA Grapalat"/>
                <w:sz w:val="18"/>
                <w:szCs w:val="18"/>
              </w:rPr>
              <w:t>Խորհրդատուների</w:t>
            </w:r>
            <w:proofErr w:type="spellEnd"/>
            <w:r w:rsidRPr="00C730CA">
              <w:rPr>
                <w:rFonts w:ascii="GHEA Grapalat" w:eastAsia="Calibri" w:hAnsi="GHEA Grapalat"/>
                <w:sz w:val="18"/>
                <w:szCs w:val="18"/>
              </w:rPr>
              <w:t xml:space="preserve"> </w:t>
            </w:r>
            <w:proofErr w:type="spellStart"/>
            <w:r w:rsidRPr="00C730CA">
              <w:rPr>
                <w:rFonts w:ascii="GHEA Grapalat" w:eastAsia="Calibri" w:hAnsi="GHEA Grapalat"/>
                <w:sz w:val="18"/>
                <w:szCs w:val="18"/>
              </w:rPr>
              <w:t>անվանումը</w:t>
            </w:r>
            <w:proofErr w:type="spellEnd"/>
          </w:p>
        </w:tc>
        <w:tc>
          <w:tcPr>
            <w:tcW w:w="3510" w:type="dxa"/>
            <w:tcBorders>
              <w:top w:val="single" w:sz="6" w:space="0" w:color="auto"/>
              <w:left w:val="single" w:sz="6" w:space="0" w:color="auto"/>
              <w:bottom w:val="single" w:sz="6" w:space="0" w:color="auto"/>
              <w:right w:val="single" w:sz="6" w:space="0" w:color="auto"/>
            </w:tcBorders>
          </w:tcPr>
          <w:p w:rsidR="00AB3A04" w:rsidRPr="00C730CA" w:rsidRDefault="00AB3A04" w:rsidP="00DA1710">
            <w:pPr>
              <w:rPr>
                <w:rFonts w:ascii="GHEA Grapalat" w:hAnsi="GHEA Grapalat"/>
                <w:bCs/>
                <w:sz w:val="18"/>
                <w:szCs w:val="18"/>
              </w:rPr>
            </w:pPr>
            <w:r w:rsidRPr="00C730CA">
              <w:rPr>
                <w:rFonts w:ascii="GHEA Grapalat" w:hAnsi="GHEA Grapalat"/>
                <w:bCs/>
                <w:sz w:val="18"/>
                <w:szCs w:val="18"/>
              </w:rPr>
              <w:t>«Սոս-աուդիտ» ՍՊԸ</w:t>
            </w:r>
            <w:r w:rsidRPr="00C730CA">
              <w:rPr>
                <w:rFonts w:ascii="GHEA Grapalat" w:hAnsi="GHEA Grapalat"/>
                <w:bCs/>
                <w:sz w:val="18"/>
                <w:szCs w:val="18"/>
              </w:rPr>
              <w:tab/>
            </w:r>
          </w:p>
        </w:tc>
        <w:tc>
          <w:tcPr>
            <w:tcW w:w="2826" w:type="dxa"/>
            <w:tcBorders>
              <w:top w:val="single" w:sz="6" w:space="0" w:color="auto"/>
              <w:left w:val="single" w:sz="6" w:space="0" w:color="auto"/>
              <w:bottom w:val="single" w:sz="6" w:space="0" w:color="auto"/>
              <w:right w:val="single" w:sz="6" w:space="0" w:color="auto"/>
            </w:tcBorders>
          </w:tcPr>
          <w:p w:rsidR="00AB3A04" w:rsidRPr="00C730CA" w:rsidRDefault="00DA1710" w:rsidP="00DA1710">
            <w:pPr>
              <w:rPr>
                <w:rFonts w:ascii="GHEA Grapalat" w:hAnsi="GHEA Grapalat"/>
                <w:bCs/>
                <w:sz w:val="18"/>
                <w:szCs w:val="18"/>
              </w:rPr>
            </w:pPr>
            <w:r w:rsidRPr="00C730CA">
              <w:rPr>
                <w:rFonts w:ascii="GHEA Grapalat" w:hAnsi="GHEA Grapalat"/>
                <w:bCs/>
                <w:sz w:val="18"/>
                <w:szCs w:val="18"/>
              </w:rPr>
              <w:t>«Գրանթ Թորնթոն» ՓԲԸ</w:t>
            </w:r>
          </w:p>
        </w:tc>
      </w:tr>
      <w:tr w:rsidR="00AB3A04" w:rsidRPr="00C730CA" w:rsidTr="00C730CA">
        <w:tc>
          <w:tcPr>
            <w:tcW w:w="397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AB3A04" w:rsidRPr="00C730CA" w:rsidRDefault="00AB3A04" w:rsidP="00FE1F89">
            <w:pPr>
              <w:rPr>
                <w:rFonts w:ascii="GHEA Grapalat" w:hAnsi="GHEA Grapalat"/>
                <w:sz w:val="18"/>
                <w:szCs w:val="18"/>
                <w:lang w:val="hy-AM"/>
              </w:rPr>
            </w:pPr>
            <w:r w:rsidRPr="00C730CA">
              <w:rPr>
                <w:rFonts w:ascii="GHEA Grapalat" w:hAnsi="GHEA Grapalat"/>
                <w:sz w:val="18"/>
                <w:szCs w:val="18"/>
                <w:lang w:val="hy-AM"/>
              </w:rPr>
              <w:t>Հ</w:t>
            </w:r>
            <w:proofErr w:type="spellStart"/>
            <w:r w:rsidRPr="00C730CA">
              <w:rPr>
                <w:rFonts w:ascii="GHEA Grapalat" w:eastAsia="Calibri" w:hAnsi="GHEA Grapalat"/>
                <w:noProof w:val="0"/>
                <w:sz w:val="18"/>
                <w:szCs w:val="18"/>
              </w:rPr>
              <w:t>ասցե</w:t>
            </w:r>
            <w:proofErr w:type="spellEnd"/>
            <w:r w:rsidRPr="00C730CA">
              <w:rPr>
                <w:rFonts w:ascii="GHEA Grapalat" w:eastAsia="Calibri" w:hAnsi="GHEA Grapalat"/>
                <w:noProof w:val="0"/>
                <w:sz w:val="18"/>
                <w:szCs w:val="18"/>
                <w:lang w:val="hy-AM"/>
              </w:rPr>
              <w:t>ն</w:t>
            </w:r>
          </w:p>
        </w:tc>
        <w:tc>
          <w:tcPr>
            <w:tcW w:w="3510" w:type="dxa"/>
            <w:tcBorders>
              <w:top w:val="single" w:sz="6" w:space="0" w:color="auto"/>
              <w:left w:val="single" w:sz="6" w:space="0" w:color="auto"/>
              <w:bottom w:val="single" w:sz="6" w:space="0" w:color="auto"/>
              <w:right w:val="single" w:sz="6" w:space="0" w:color="auto"/>
            </w:tcBorders>
          </w:tcPr>
          <w:p w:rsidR="00C730CA" w:rsidRDefault="00DA1710" w:rsidP="00C730CA">
            <w:pPr>
              <w:rPr>
                <w:rFonts w:ascii="GHEA Grapalat" w:hAnsi="GHEA Grapalat"/>
                <w:bCs/>
                <w:sz w:val="18"/>
                <w:szCs w:val="18"/>
              </w:rPr>
            </w:pPr>
            <w:r w:rsidRPr="00C730CA">
              <w:rPr>
                <w:rFonts w:ascii="GHEA Grapalat" w:hAnsi="GHEA Grapalat"/>
                <w:bCs/>
                <w:sz w:val="18"/>
                <w:szCs w:val="18"/>
              </w:rPr>
              <w:t xml:space="preserve">ՀՀ,  ք. Երևան 0037, </w:t>
            </w:r>
          </w:p>
          <w:p w:rsidR="00AB3A04" w:rsidRPr="00C730CA" w:rsidRDefault="00C730CA" w:rsidP="00C730CA">
            <w:pPr>
              <w:rPr>
                <w:rFonts w:ascii="GHEA Grapalat" w:hAnsi="GHEA Grapalat"/>
                <w:bCs/>
                <w:sz w:val="18"/>
                <w:szCs w:val="18"/>
              </w:rPr>
            </w:pPr>
            <w:r w:rsidRPr="00C730CA">
              <w:rPr>
                <w:rFonts w:ascii="GHEA Grapalat" w:hAnsi="GHEA Grapalat"/>
                <w:bCs/>
                <w:sz w:val="18"/>
                <w:szCs w:val="18"/>
              </w:rPr>
              <w:t>38/55</w:t>
            </w:r>
            <w:r>
              <w:rPr>
                <w:rFonts w:ascii="GHEA Grapalat" w:hAnsi="GHEA Grapalat"/>
                <w:bCs/>
                <w:sz w:val="18"/>
                <w:szCs w:val="18"/>
              </w:rPr>
              <w:t xml:space="preserve"> </w:t>
            </w:r>
            <w:r w:rsidR="00DA1710" w:rsidRPr="00C730CA">
              <w:rPr>
                <w:rFonts w:ascii="GHEA Grapalat" w:hAnsi="GHEA Grapalat"/>
                <w:bCs/>
                <w:sz w:val="18"/>
                <w:szCs w:val="18"/>
              </w:rPr>
              <w:t xml:space="preserve">Ա. Տիգրամյան </w:t>
            </w:r>
          </w:p>
        </w:tc>
        <w:tc>
          <w:tcPr>
            <w:tcW w:w="2826" w:type="dxa"/>
            <w:tcBorders>
              <w:top w:val="single" w:sz="6" w:space="0" w:color="auto"/>
              <w:left w:val="single" w:sz="6" w:space="0" w:color="auto"/>
              <w:bottom w:val="single" w:sz="6" w:space="0" w:color="auto"/>
              <w:right w:val="single" w:sz="6" w:space="0" w:color="auto"/>
            </w:tcBorders>
          </w:tcPr>
          <w:p w:rsidR="00C730CA" w:rsidRDefault="00DA1710" w:rsidP="00DA1710">
            <w:pPr>
              <w:rPr>
                <w:rFonts w:ascii="GHEA Grapalat" w:hAnsi="GHEA Grapalat"/>
                <w:bCs/>
                <w:sz w:val="18"/>
                <w:szCs w:val="18"/>
              </w:rPr>
            </w:pPr>
            <w:r w:rsidRPr="00C730CA">
              <w:rPr>
                <w:rFonts w:ascii="GHEA Grapalat" w:hAnsi="GHEA Grapalat"/>
                <w:bCs/>
                <w:sz w:val="18"/>
                <w:szCs w:val="18"/>
              </w:rPr>
              <w:t xml:space="preserve">ՀՀ, ք. Երևան 0012, </w:t>
            </w:r>
          </w:p>
          <w:p w:rsidR="00AB3A04" w:rsidRPr="00C730CA" w:rsidRDefault="00AB3A04" w:rsidP="00DA1710">
            <w:pPr>
              <w:rPr>
                <w:rFonts w:ascii="GHEA Grapalat" w:hAnsi="GHEA Grapalat"/>
                <w:bCs/>
                <w:sz w:val="18"/>
                <w:szCs w:val="18"/>
              </w:rPr>
            </w:pPr>
            <w:r w:rsidRPr="00C730CA">
              <w:rPr>
                <w:rFonts w:ascii="GHEA Grapalat" w:hAnsi="GHEA Grapalat"/>
                <w:bCs/>
                <w:sz w:val="18"/>
                <w:szCs w:val="18"/>
              </w:rPr>
              <w:t>8/1</w:t>
            </w:r>
            <w:r w:rsidR="00DA1710" w:rsidRPr="00C730CA">
              <w:rPr>
                <w:rFonts w:ascii="GHEA Grapalat" w:hAnsi="GHEA Grapalat"/>
                <w:bCs/>
                <w:sz w:val="18"/>
                <w:szCs w:val="18"/>
              </w:rPr>
              <w:t xml:space="preserve"> Վաղարշյան</w:t>
            </w:r>
          </w:p>
        </w:tc>
      </w:tr>
      <w:tr w:rsidR="00AB3A04" w:rsidRPr="00C730CA" w:rsidTr="00C730CA">
        <w:trPr>
          <w:trHeight w:val="313"/>
        </w:trPr>
        <w:tc>
          <w:tcPr>
            <w:tcW w:w="3978" w:type="dxa"/>
            <w:tcBorders>
              <w:top w:val="single" w:sz="6" w:space="0" w:color="auto"/>
              <w:left w:val="single" w:sz="6" w:space="0" w:color="auto"/>
              <w:right w:val="single" w:sz="6" w:space="0" w:color="auto"/>
            </w:tcBorders>
            <w:shd w:val="clear" w:color="auto" w:fill="DBE5F1" w:themeFill="accent1" w:themeFillTint="33"/>
          </w:tcPr>
          <w:p w:rsidR="00AB3A04" w:rsidRPr="00C730CA" w:rsidRDefault="00AB3A04" w:rsidP="00DA1710">
            <w:pPr>
              <w:pStyle w:val="NormalWeb"/>
              <w:spacing w:before="0" w:beforeAutospacing="0" w:after="0" w:afterAutospacing="0"/>
              <w:rPr>
                <w:rFonts w:ascii="GHEA Grapalat" w:hAnsi="GHEA Grapalat"/>
                <w:sz w:val="18"/>
                <w:szCs w:val="18"/>
                <w:lang w:val="hy-AM"/>
              </w:rPr>
            </w:pPr>
            <w:r w:rsidRPr="00C730CA">
              <w:rPr>
                <w:rFonts w:ascii="GHEA Grapalat" w:eastAsia="Calibri" w:hAnsi="GHEA Grapalat"/>
                <w:sz w:val="18"/>
                <w:szCs w:val="18"/>
                <w:lang w:val="hy-AM"/>
              </w:rPr>
              <w:t>Կարգավիճակը</w:t>
            </w:r>
          </w:p>
        </w:tc>
        <w:tc>
          <w:tcPr>
            <w:tcW w:w="3510" w:type="dxa"/>
            <w:tcBorders>
              <w:top w:val="single" w:sz="6" w:space="0" w:color="auto"/>
              <w:left w:val="single" w:sz="6" w:space="0" w:color="auto"/>
              <w:right w:val="single" w:sz="6" w:space="0" w:color="auto"/>
            </w:tcBorders>
          </w:tcPr>
          <w:p w:rsidR="00AB3A04" w:rsidRPr="00C730CA" w:rsidRDefault="00AB3A04" w:rsidP="00E7573C">
            <w:pPr>
              <w:rPr>
                <w:rFonts w:ascii="GHEA Grapalat" w:hAnsi="GHEA Grapalat"/>
                <w:bCs/>
                <w:sz w:val="18"/>
                <w:szCs w:val="18"/>
              </w:rPr>
            </w:pPr>
            <w:r w:rsidRPr="00C730CA">
              <w:rPr>
                <w:rFonts w:ascii="GHEA Grapalat" w:hAnsi="GHEA Grapalat"/>
                <w:bCs/>
                <w:sz w:val="18"/>
                <w:szCs w:val="18"/>
              </w:rPr>
              <w:t xml:space="preserve">Հաղթող ընկերություն </w:t>
            </w:r>
          </w:p>
        </w:tc>
        <w:tc>
          <w:tcPr>
            <w:tcW w:w="2826" w:type="dxa"/>
            <w:tcBorders>
              <w:top w:val="single" w:sz="6" w:space="0" w:color="auto"/>
              <w:left w:val="single" w:sz="6" w:space="0" w:color="auto"/>
              <w:right w:val="single" w:sz="6" w:space="0" w:color="auto"/>
            </w:tcBorders>
          </w:tcPr>
          <w:p w:rsidR="00AB3A04" w:rsidRPr="00C730CA" w:rsidRDefault="00DA1710" w:rsidP="00F64CF8">
            <w:pPr>
              <w:rPr>
                <w:rFonts w:ascii="GHEA Grapalat" w:hAnsi="GHEA Grapalat"/>
                <w:bCs/>
                <w:sz w:val="18"/>
                <w:szCs w:val="18"/>
              </w:rPr>
            </w:pPr>
            <w:r w:rsidRPr="00C730CA">
              <w:rPr>
                <w:rFonts w:ascii="GHEA Grapalat" w:hAnsi="GHEA Grapalat"/>
                <w:bCs/>
                <w:sz w:val="18"/>
                <w:szCs w:val="18"/>
              </w:rPr>
              <w:t>Գնահատված ընկերություն</w:t>
            </w:r>
          </w:p>
        </w:tc>
      </w:tr>
      <w:tr w:rsidR="00AB3A04" w:rsidRPr="00C730CA" w:rsidTr="00C730CA">
        <w:tc>
          <w:tcPr>
            <w:tcW w:w="397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AB3A04" w:rsidRPr="00C730CA" w:rsidRDefault="00AB3A04" w:rsidP="008352D4">
            <w:pPr>
              <w:pStyle w:val="NormalWeb"/>
              <w:rPr>
                <w:rFonts w:ascii="GHEA Grapalat" w:eastAsia="Calibri" w:hAnsi="GHEA Grapalat"/>
                <w:sz w:val="18"/>
                <w:szCs w:val="18"/>
                <w:lang w:val="hy-AM"/>
              </w:rPr>
            </w:pPr>
            <w:r w:rsidRPr="00C730CA">
              <w:rPr>
                <w:rFonts w:ascii="GHEA Grapalat" w:eastAsia="Calibri" w:hAnsi="GHEA Grapalat"/>
                <w:sz w:val="18"/>
                <w:szCs w:val="18"/>
                <w:lang w:val="hy-AM"/>
              </w:rPr>
              <w:t>Տեխնիկական միավորները</w:t>
            </w:r>
          </w:p>
        </w:tc>
        <w:tc>
          <w:tcPr>
            <w:tcW w:w="3510" w:type="dxa"/>
            <w:tcBorders>
              <w:top w:val="single" w:sz="6" w:space="0" w:color="auto"/>
              <w:left w:val="single" w:sz="6" w:space="0" w:color="auto"/>
              <w:bottom w:val="single" w:sz="6" w:space="0" w:color="auto"/>
              <w:right w:val="single" w:sz="6" w:space="0" w:color="auto"/>
            </w:tcBorders>
          </w:tcPr>
          <w:p w:rsidR="00AB3A04" w:rsidRPr="00C730CA" w:rsidRDefault="00AB3A04" w:rsidP="00DA1710">
            <w:pPr>
              <w:rPr>
                <w:rFonts w:ascii="GHEA Grapalat" w:hAnsi="GHEA Grapalat"/>
                <w:bCs/>
                <w:sz w:val="18"/>
                <w:szCs w:val="18"/>
              </w:rPr>
            </w:pPr>
            <w:r w:rsidRPr="00C730CA">
              <w:rPr>
                <w:rFonts w:ascii="GHEA Grapalat" w:hAnsi="GHEA Grapalat"/>
                <w:bCs/>
                <w:sz w:val="18"/>
                <w:szCs w:val="18"/>
              </w:rPr>
              <w:t>90.</w:t>
            </w:r>
            <w:r w:rsidR="00DA1710" w:rsidRPr="00C730CA">
              <w:rPr>
                <w:rFonts w:ascii="GHEA Grapalat" w:hAnsi="GHEA Grapalat"/>
                <w:bCs/>
                <w:sz w:val="18"/>
                <w:szCs w:val="18"/>
              </w:rPr>
              <w:t>25</w:t>
            </w:r>
          </w:p>
        </w:tc>
        <w:tc>
          <w:tcPr>
            <w:tcW w:w="2826" w:type="dxa"/>
            <w:tcBorders>
              <w:top w:val="single" w:sz="6" w:space="0" w:color="auto"/>
              <w:left w:val="single" w:sz="6" w:space="0" w:color="auto"/>
              <w:bottom w:val="single" w:sz="6" w:space="0" w:color="auto"/>
              <w:right w:val="single" w:sz="6" w:space="0" w:color="auto"/>
            </w:tcBorders>
          </w:tcPr>
          <w:p w:rsidR="00AB3A04" w:rsidRPr="00C730CA" w:rsidRDefault="00DA1710" w:rsidP="000435E5">
            <w:pPr>
              <w:rPr>
                <w:rFonts w:ascii="GHEA Grapalat" w:hAnsi="GHEA Grapalat"/>
                <w:bCs/>
                <w:sz w:val="18"/>
                <w:szCs w:val="18"/>
              </w:rPr>
            </w:pPr>
            <w:r w:rsidRPr="00C730CA">
              <w:rPr>
                <w:rFonts w:ascii="GHEA Grapalat" w:hAnsi="GHEA Grapalat"/>
                <w:bCs/>
                <w:sz w:val="18"/>
                <w:szCs w:val="18"/>
              </w:rPr>
              <w:t>90.11</w:t>
            </w:r>
          </w:p>
        </w:tc>
      </w:tr>
      <w:tr w:rsidR="00AB3A04" w:rsidRPr="00C730CA" w:rsidTr="00C730CA">
        <w:tc>
          <w:tcPr>
            <w:tcW w:w="397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AB3A04" w:rsidRPr="00C730CA" w:rsidRDefault="00AB3A04" w:rsidP="008352D4">
            <w:pPr>
              <w:pStyle w:val="NormalWeb"/>
              <w:rPr>
                <w:rFonts w:ascii="GHEA Grapalat" w:eastAsia="Calibri" w:hAnsi="GHEA Grapalat"/>
                <w:sz w:val="18"/>
                <w:szCs w:val="18"/>
                <w:lang w:val="hy-AM"/>
              </w:rPr>
            </w:pPr>
            <w:r w:rsidRPr="00C730CA">
              <w:rPr>
                <w:rFonts w:ascii="GHEA Grapalat" w:eastAsia="Calibri" w:hAnsi="GHEA Grapalat"/>
                <w:sz w:val="18"/>
                <w:szCs w:val="18"/>
                <w:lang w:val="hy-AM"/>
              </w:rPr>
              <w:t>Ֆինանսական միավորները</w:t>
            </w:r>
          </w:p>
        </w:tc>
        <w:tc>
          <w:tcPr>
            <w:tcW w:w="3510" w:type="dxa"/>
            <w:tcBorders>
              <w:top w:val="single" w:sz="6" w:space="0" w:color="auto"/>
              <w:left w:val="single" w:sz="6" w:space="0" w:color="auto"/>
              <w:bottom w:val="single" w:sz="6" w:space="0" w:color="auto"/>
              <w:right w:val="single" w:sz="6" w:space="0" w:color="auto"/>
            </w:tcBorders>
          </w:tcPr>
          <w:p w:rsidR="00AB3A04" w:rsidRPr="00C730CA" w:rsidRDefault="00C730CA" w:rsidP="00FF795F">
            <w:pPr>
              <w:rPr>
                <w:rFonts w:ascii="GHEA Grapalat" w:hAnsi="GHEA Grapalat"/>
                <w:bCs/>
                <w:sz w:val="18"/>
                <w:szCs w:val="18"/>
              </w:rPr>
            </w:pPr>
            <w:r>
              <w:rPr>
                <w:rFonts w:ascii="GHEA Grapalat" w:hAnsi="GHEA Grapalat"/>
                <w:bCs/>
                <w:sz w:val="18"/>
                <w:szCs w:val="18"/>
              </w:rPr>
              <w:t>Չ/Կ</w:t>
            </w:r>
          </w:p>
        </w:tc>
        <w:tc>
          <w:tcPr>
            <w:tcW w:w="2826" w:type="dxa"/>
            <w:tcBorders>
              <w:top w:val="single" w:sz="6" w:space="0" w:color="auto"/>
              <w:left w:val="single" w:sz="6" w:space="0" w:color="auto"/>
              <w:bottom w:val="single" w:sz="6" w:space="0" w:color="auto"/>
              <w:right w:val="single" w:sz="6" w:space="0" w:color="auto"/>
            </w:tcBorders>
          </w:tcPr>
          <w:p w:rsidR="00AB3A04" w:rsidRPr="00C730CA" w:rsidRDefault="00C730CA" w:rsidP="00FF795F">
            <w:pPr>
              <w:rPr>
                <w:rFonts w:ascii="GHEA Grapalat" w:hAnsi="GHEA Grapalat"/>
                <w:bCs/>
                <w:sz w:val="18"/>
                <w:szCs w:val="18"/>
              </w:rPr>
            </w:pPr>
            <w:r>
              <w:rPr>
                <w:rFonts w:ascii="GHEA Grapalat" w:hAnsi="GHEA Grapalat"/>
                <w:bCs/>
                <w:sz w:val="18"/>
                <w:szCs w:val="18"/>
              </w:rPr>
              <w:t>Չ/Կ</w:t>
            </w:r>
          </w:p>
        </w:tc>
      </w:tr>
      <w:tr w:rsidR="00AB3A04" w:rsidRPr="00C730CA" w:rsidTr="00C730CA">
        <w:tc>
          <w:tcPr>
            <w:tcW w:w="397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AB3A04" w:rsidRPr="00C730CA" w:rsidRDefault="00AB3A04" w:rsidP="00630631">
            <w:pPr>
              <w:pStyle w:val="NormalWeb"/>
              <w:rPr>
                <w:rFonts w:ascii="GHEA Grapalat" w:eastAsia="Calibri" w:hAnsi="GHEA Grapalat"/>
                <w:sz w:val="18"/>
                <w:szCs w:val="18"/>
                <w:lang w:val="hy-AM"/>
              </w:rPr>
            </w:pPr>
            <w:r w:rsidRPr="00C730CA">
              <w:rPr>
                <w:rFonts w:ascii="GHEA Grapalat" w:eastAsia="Calibri" w:hAnsi="GHEA Grapalat"/>
                <w:sz w:val="18"/>
                <w:szCs w:val="18"/>
                <w:lang w:val="hy-AM"/>
              </w:rPr>
              <w:t xml:space="preserve">Ընդհանուր միավորները </w:t>
            </w:r>
          </w:p>
        </w:tc>
        <w:tc>
          <w:tcPr>
            <w:tcW w:w="3510" w:type="dxa"/>
            <w:tcBorders>
              <w:top w:val="single" w:sz="6" w:space="0" w:color="auto"/>
              <w:left w:val="single" w:sz="6" w:space="0" w:color="auto"/>
              <w:bottom w:val="single" w:sz="6" w:space="0" w:color="auto"/>
              <w:right w:val="single" w:sz="6" w:space="0" w:color="auto"/>
            </w:tcBorders>
          </w:tcPr>
          <w:p w:rsidR="00AB3A04" w:rsidRPr="00C730CA" w:rsidRDefault="00AB3A04" w:rsidP="00DA1710">
            <w:pPr>
              <w:rPr>
                <w:rFonts w:ascii="GHEA Grapalat" w:hAnsi="GHEA Grapalat"/>
                <w:bCs/>
                <w:sz w:val="18"/>
                <w:szCs w:val="18"/>
              </w:rPr>
            </w:pPr>
            <w:r w:rsidRPr="00C730CA">
              <w:rPr>
                <w:rFonts w:ascii="GHEA Grapalat" w:hAnsi="GHEA Grapalat"/>
                <w:bCs/>
                <w:sz w:val="18"/>
                <w:szCs w:val="18"/>
              </w:rPr>
              <w:t>90.</w:t>
            </w:r>
            <w:r w:rsidR="00DA1710" w:rsidRPr="00C730CA">
              <w:rPr>
                <w:rFonts w:ascii="GHEA Grapalat" w:hAnsi="GHEA Grapalat"/>
                <w:bCs/>
                <w:sz w:val="18"/>
                <w:szCs w:val="18"/>
              </w:rPr>
              <w:t>25</w:t>
            </w:r>
          </w:p>
        </w:tc>
        <w:tc>
          <w:tcPr>
            <w:tcW w:w="2826" w:type="dxa"/>
            <w:tcBorders>
              <w:top w:val="single" w:sz="6" w:space="0" w:color="auto"/>
              <w:left w:val="single" w:sz="6" w:space="0" w:color="auto"/>
              <w:bottom w:val="single" w:sz="6" w:space="0" w:color="auto"/>
              <w:right w:val="single" w:sz="6" w:space="0" w:color="auto"/>
            </w:tcBorders>
          </w:tcPr>
          <w:p w:rsidR="00AB3A04" w:rsidRPr="00C730CA" w:rsidRDefault="00DA1710" w:rsidP="000435E5">
            <w:pPr>
              <w:rPr>
                <w:rFonts w:ascii="GHEA Grapalat" w:hAnsi="GHEA Grapalat"/>
                <w:bCs/>
                <w:sz w:val="18"/>
                <w:szCs w:val="18"/>
              </w:rPr>
            </w:pPr>
            <w:r w:rsidRPr="00C730CA">
              <w:rPr>
                <w:rFonts w:ascii="GHEA Grapalat" w:hAnsi="GHEA Grapalat"/>
                <w:bCs/>
                <w:sz w:val="18"/>
                <w:szCs w:val="18"/>
              </w:rPr>
              <w:t>90.11</w:t>
            </w:r>
          </w:p>
        </w:tc>
      </w:tr>
      <w:tr w:rsidR="00AB3A04" w:rsidRPr="00C730CA" w:rsidTr="00547BBB">
        <w:tc>
          <w:tcPr>
            <w:tcW w:w="3978" w:type="dxa"/>
            <w:tcBorders>
              <w:left w:val="single" w:sz="6" w:space="0" w:color="auto"/>
            </w:tcBorders>
            <w:shd w:val="clear" w:color="auto" w:fill="DBE5F1" w:themeFill="accent1" w:themeFillTint="33"/>
          </w:tcPr>
          <w:p w:rsidR="00AB3A04" w:rsidRPr="00C730CA" w:rsidRDefault="00AB3A04" w:rsidP="008352D4">
            <w:pPr>
              <w:pStyle w:val="NormalWeb"/>
              <w:rPr>
                <w:rFonts w:ascii="GHEA Grapalat" w:eastAsia="Calibri" w:hAnsi="GHEA Grapalat"/>
                <w:sz w:val="18"/>
                <w:szCs w:val="18"/>
              </w:rPr>
            </w:pPr>
            <w:proofErr w:type="spellStart"/>
            <w:r w:rsidRPr="00C730CA">
              <w:rPr>
                <w:rFonts w:ascii="GHEA Grapalat" w:eastAsia="Calibri" w:hAnsi="GHEA Grapalat"/>
                <w:sz w:val="18"/>
                <w:szCs w:val="18"/>
              </w:rPr>
              <w:t>Չափանիշները</w:t>
            </w:r>
            <w:proofErr w:type="spellEnd"/>
          </w:p>
        </w:tc>
        <w:tc>
          <w:tcPr>
            <w:tcW w:w="6336" w:type="dxa"/>
            <w:gridSpan w:val="2"/>
            <w:tcBorders>
              <w:top w:val="single" w:sz="6" w:space="0" w:color="auto"/>
              <w:left w:val="single" w:sz="6" w:space="0" w:color="auto"/>
              <w:bottom w:val="single" w:sz="6" w:space="0" w:color="auto"/>
              <w:right w:val="single" w:sz="6" w:space="0" w:color="auto"/>
            </w:tcBorders>
            <w:shd w:val="clear" w:color="auto" w:fill="DBE5F1" w:themeFill="accent1" w:themeFillTint="33"/>
          </w:tcPr>
          <w:p w:rsidR="00AB3A04" w:rsidRPr="00C730CA" w:rsidRDefault="00AB3A04" w:rsidP="00FF795F">
            <w:pPr>
              <w:rPr>
                <w:rFonts w:ascii="GHEA Grapalat" w:hAnsi="GHEA Grapalat"/>
                <w:bCs/>
                <w:sz w:val="18"/>
                <w:szCs w:val="18"/>
              </w:rPr>
            </w:pPr>
          </w:p>
        </w:tc>
      </w:tr>
      <w:tr w:rsidR="00AB3A04" w:rsidRPr="00C730CA" w:rsidTr="00C730CA">
        <w:tc>
          <w:tcPr>
            <w:tcW w:w="397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AB3A04" w:rsidRPr="00C730CA" w:rsidRDefault="00AB3A04" w:rsidP="008352D4">
            <w:pPr>
              <w:pStyle w:val="ListParagraph"/>
              <w:numPr>
                <w:ilvl w:val="0"/>
                <w:numId w:val="2"/>
              </w:numPr>
              <w:rPr>
                <w:rFonts w:ascii="GHEA Grapalat" w:hAnsi="GHEA Grapalat"/>
                <w:sz w:val="18"/>
                <w:szCs w:val="18"/>
              </w:rPr>
            </w:pPr>
            <w:r w:rsidRPr="00C730CA">
              <w:rPr>
                <w:rFonts w:ascii="GHEA Grapalat" w:hAnsi="GHEA Grapalat"/>
                <w:sz w:val="18"/>
                <w:szCs w:val="18"/>
              </w:rPr>
              <w:t xml:space="preserve">Առաջարկվող մեթոդաբանության և աշխատանքային պլանի համապատասխանություն տեխնիկական առաջադրանքին </w:t>
            </w:r>
          </w:p>
        </w:tc>
        <w:tc>
          <w:tcPr>
            <w:tcW w:w="3510" w:type="dxa"/>
            <w:tcBorders>
              <w:top w:val="single" w:sz="6" w:space="0" w:color="auto"/>
              <w:left w:val="single" w:sz="6" w:space="0" w:color="auto"/>
              <w:bottom w:val="single" w:sz="6" w:space="0" w:color="auto"/>
              <w:right w:val="single" w:sz="6" w:space="0" w:color="auto"/>
            </w:tcBorders>
          </w:tcPr>
          <w:p w:rsidR="00AB3A04" w:rsidRPr="00C730CA" w:rsidRDefault="00DA1710" w:rsidP="00FF795F">
            <w:pPr>
              <w:rPr>
                <w:rFonts w:ascii="GHEA Grapalat" w:hAnsi="GHEA Grapalat"/>
                <w:bCs/>
                <w:sz w:val="18"/>
                <w:szCs w:val="18"/>
              </w:rPr>
            </w:pPr>
            <w:r w:rsidRPr="00C730CA">
              <w:rPr>
                <w:rFonts w:ascii="GHEA Grapalat" w:hAnsi="GHEA Grapalat"/>
                <w:bCs/>
                <w:sz w:val="18"/>
                <w:szCs w:val="18"/>
              </w:rPr>
              <w:t>17.50</w:t>
            </w:r>
          </w:p>
        </w:tc>
        <w:tc>
          <w:tcPr>
            <w:tcW w:w="2826" w:type="dxa"/>
            <w:tcBorders>
              <w:top w:val="single" w:sz="6" w:space="0" w:color="auto"/>
              <w:left w:val="single" w:sz="6" w:space="0" w:color="auto"/>
              <w:bottom w:val="single" w:sz="6" w:space="0" w:color="auto"/>
              <w:right w:val="single" w:sz="6" w:space="0" w:color="auto"/>
            </w:tcBorders>
          </w:tcPr>
          <w:p w:rsidR="00AB3A04" w:rsidRPr="00C730CA" w:rsidRDefault="00DA1710" w:rsidP="0074782B">
            <w:pPr>
              <w:rPr>
                <w:rFonts w:ascii="GHEA Grapalat" w:hAnsi="GHEA Grapalat"/>
                <w:bCs/>
                <w:sz w:val="18"/>
                <w:szCs w:val="18"/>
              </w:rPr>
            </w:pPr>
            <w:r w:rsidRPr="00C730CA">
              <w:rPr>
                <w:rFonts w:ascii="GHEA Grapalat" w:hAnsi="GHEA Grapalat"/>
                <w:bCs/>
                <w:sz w:val="18"/>
                <w:szCs w:val="18"/>
              </w:rPr>
              <w:t>17.50</w:t>
            </w:r>
          </w:p>
        </w:tc>
      </w:tr>
      <w:tr w:rsidR="00AB3A04" w:rsidRPr="00C730CA" w:rsidTr="00C730CA">
        <w:tc>
          <w:tcPr>
            <w:tcW w:w="397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AB3A04" w:rsidRPr="00C730CA" w:rsidRDefault="00AB3A04" w:rsidP="00AB3A04">
            <w:pPr>
              <w:pStyle w:val="ListParagraph"/>
              <w:numPr>
                <w:ilvl w:val="0"/>
                <w:numId w:val="2"/>
              </w:numPr>
              <w:rPr>
                <w:rFonts w:ascii="GHEA Grapalat" w:hAnsi="GHEA Grapalat"/>
                <w:sz w:val="18"/>
                <w:szCs w:val="18"/>
              </w:rPr>
            </w:pPr>
            <w:r w:rsidRPr="00C730CA">
              <w:rPr>
                <w:rFonts w:ascii="GHEA Grapalat" w:hAnsi="GHEA Grapalat"/>
                <w:sz w:val="18"/>
                <w:szCs w:val="18"/>
              </w:rPr>
              <w:t>Առաջադրանքը կատարող հիմնական աշխատակիցների որակավորումները և իրազեկությունը</w:t>
            </w:r>
          </w:p>
        </w:tc>
        <w:tc>
          <w:tcPr>
            <w:tcW w:w="3510" w:type="dxa"/>
            <w:tcBorders>
              <w:top w:val="single" w:sz="6" w:space="0" w:color="auto"/>
              <w:left w:val="single" w:sz="6" w:space="0" w:color="auto"/>
              <w:bottom w:val="single" w:sz="6" w:space="0" w:color="auto"/>
              <w:right w:val="single" w:sz="6" w:space="0" w:color="auto"/>
            </w:tcBorders>
          </w:tcPr>
          <w:p w:rsidR="00AB3A04" w:rsidRPr="00C730CA" w:rsidRDefault="00AB3A04" w:rsidP="00DA1710">
            <w:pPr>
              <w:rPr>
                <w:rFonts w:ascii="GHEA Grapalat" w:hAnsi="GHEA Grapalat"/>
                <w:bCs/>
                <w:sz w:val="18"/>
                <w:szCs w:val="18"/>
              </w:rPr>
            </w:pPr>
            <w:r w:rsidRPr="00C730CA">
              <w:rPr>
                <w:rFonts w:ascii="GHEA Grapalat" w:hAnsi="GHEA Grapalat"/>
                <w:bCs/>
                <w:sz w:val="18"/>
                <w:szCs w:val="18"/>
              </w:rPr>
              <w:t>62.7</w:t>
            </w:r>
            <w:r w:rsidR="00DA1710" w:rsidRPr="00C730CA">
              <w:rPr>
                <w:rFonts w:ascii="GHEA Grapalat" w:hAnsi="GHEA Grapalat"/>
                <w:bCs/>
                <w:sz w:val="18"/>
                <w:szCs w:val="18"/>
              </w:rPr>
              <w:t>5</w:t>
            </w:r>
          </w:p>
        </w:tc>
        <w:tc>
          <w:tcPr>
            <w:tcW w:w="2826" w:type="dxa"/>
            <w:tcBorders>
              <w:top w:val="single" w:sz="6" w:space="0" w:color="auto"/>
              <w:left w:val="single" w:sz="6" w:space="0" w:color="auto"/>
              <w:bottom w:val="single" w:sz="6" w:space="0" w:color="auto"/>
              <w:right w:val="single" w:sz="6" w:space="0" w:color="auto"/>
            </w:tcBorders>
          </w:tcPr>
          <w:p w:rsidR="00AB3A04" w:rsidRPr="00C730CA" w:rsidRDefault="00DA1710" w:rsidP="00AB3A04">
            <w:pPr>
              <w:rPr>
                <w:rFonts w:ascii="GHEA Grapalat" w:hAnsi="GHEA Grapalat"/>
                <w:bCs/>
                <w:sz w:val="18"/>
                <w:szCs w:val="18"/>
              </w:rPr>
            </w:pPr>
            <w:r w:rsidRPr="00C730CA">
              <w:rPr>
                <w:rFonts w:ascii="GHEA Grapalat" w:hAnsi="GHEA Grapalat"/>
                <w:bCs/>
                <w:sz w:val="18"/>
                <w:szCs w:val="18"/>
              </w:rPr>
              <w:t>62.61</w:t>
            </w:r>
          </w:p>
        </w:tc>
      </w:tr>
      <w:tr w:rsidR="00AB3A04" w:rsidRPr="00C730CA" w:rsidTr="00C730CA">
        <w:tc>
          <w:tcPr>
            <w:tcW w:w="397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AB3A04" w:rsidRPr="00C730CA" w:rsidRDefault="00AB3A04" w:rsidP="000646D1">
            <w:pPr>
              <w:pStyle w:val="ListParagraph"/>
              <w:numPr>
                <w:ilvl w:val="0"/>
                <w:numId w:val="2"/>
              </w:numPr>
              <w:rPr>
                <w:rFonts w:ascii="GHEA Grapalat" w:hAnsi="GHEA Grapalat"/>
                <w:sz w:val="18"/>
                <w:szCs w:val="18"/>
              </w:rPr>
            </w:pPr>
            <w:r w:rsidRPr="00C730CA">
              <w:rPr>
                <w:rFonts w:ascii="GHEA Grapalat" w:hAnsi="GHEA Grapalat"/>
                <w:sz w:val="18"/>
                <w:szCs w:val="18"/>
              </w:rPr>
              <w:t>Տեղական մասնակցություն հիմնական մասնագիտական անձնակազմ</w:t>
            </w:r>
            <w:r w:rsidR="000646D1">
              <w:rPr>
                <w:rFonts w:ascii="GHEA Grapalat" w:hAnsi="GHEA Grapalat"/>
                <w:sz w:val="18"/>
                <w:szCs w:val="18"/>
              </w:rPr>
              <w:t>ում</w:t>
            </w:r>
            <w:r w:rsidRPr="00C730CA">
              <w:rPr>
                <w:rFonts w:ascii="GHEA Grapalat" w:hAnsi="GHEA Grapalat"/>
                <w:sz w:val="18"/>
                <w:szCs w:val="18"/>
              </w:rPr>
              <w:t xml:space="preserve"> </w:t>
            </w:r>
          </w:p>
        </w:tc>
        <w:tc>
          <w:tcPr>
            <w:tcW w:w="3510" w:type="dxa"/>
            <w:tcBorders>
              <w:top w:val="single" w:sz="6" w:space="0" w:color="auto"/>
              <w:left w:val="single" w:sz="6" w:space="0" w:color="auto"/>
              <w:bottom w:val="single" w:sz="6" w:space="0" w:color="auto"/>
              <w:right w:val="single" w:sz="6" w:space="0" w:color="auto"/>
            </w:tcBorders>
          </w:tcPr>
          <w:p w:rsidR="00AB3A04" w:rsidRPr="00C730CA" w:rsidRDefault="00DA1710" w:rsidP="00FF795F">
            <w:pPr>
              <w:rPr>
                <w:rFonts w:ascii="GHEA Grapalat" w:hAnsi="GHEA Grapalat"/>
                <w:bCs/>
                <w:sz w:val="18"/>
                <w:szCs w:val="18"/>
              </w:rPr>
            </w:pPr>
            <w:r w:rsidRPr="00C730CA">
              <w:rPr>
                <w:rFonts w:ascii="GHEA Grapalat" w:hAnsi="GHEA Grapalat"/>
                <w:bCs/>
                <w:sz w:val="18"/>
                <w:szCs w:val="18"/>
              </w:rPr>
              <w:t>10.00</w:t>
            </w:r>
          </w:p>
        </w:tc>
        <w:tc>
          <w:tcPr>
            <w:tcW w:w="2826" w:type="dxa"/>
            <w:tcBorders>
              <w:top w:val="single" w:sz="6" w:space="0" w:color="auto"/>
              <w:left w:val="single" w:sz="6" w:space="0" w:color="auto"/>
              <w:bottom w:val="single" w:sz="6" w:space="0" w:color="auto"/>
              <w:right w:val="single" w:sz="6" w:space="0" w:color="auto"/>
            </w:tcBorders>
          </w:tcPr>
          <w:p w:rsidR="00AB3A04" w:rsidRPr="00C730CA" w:rsidRDefault="00DA1710" w:rsidP="00FF795F">
            <w:pPr>
              <w:rPr>
                <w:rFonts w:ascii="GHEA Grapalat" w:hAnsi="GHEA Grapalat"/>
                <w:bCs/>
                <w:sz w:val="18"/>
                <w:szCs w:val="18"/>
              </w:rPr>
            </w:pPr>
            <w:r w:rsidRPr="00C730CA">
              <w:rPr>
                <w:rFonts w:ascii="GHEA Grapalat" w:hAnsi="GHEA Grapalat"/>
                <w:bCs/>
                <w:sz w:val="18"/>
                <w:szCs w:val="18"/>
              </w:rPr>
              <w:t>10.00</w:t>
            </w:r>
          </w:p>
        </w:tc>
      </w:tr>
      <w:tr w:rsidR="00AB3A04" w:rsidRPr="00C730CA" w:rsidTr="00C730CA">
        <w:tc>
          <w:tcPr>
            <w:tcW w:w="3978" w:type="dxa"/>
            <w:tcBorders>
              <w:top w:val="single" w:sz="6" w:space="0" w:color="auto"/>
              <w:left w:val="single" w:sz="6" w:space="0" w:color="auto"/>
              <w:right w:val="single" w:sz="6" w:space="0" w:color="auto"/>
            </w:tcBorders>
            <w:shd w:val="clear" w:color="auto" w:fill="DBE5F1" w:themeFill="accent1" w:themeFillTint="33"/>
          </w:tcPr>
          <w:p w:rsidR="00AB3A04" w:rsidRPr="00C730CA" w:rsidRDefault="00AB3A04" w:rsidP="00630631">
            <w:pPr>
              <w:pStyle w:val="NormalWeb"/>
              <w:rPr>
                <w:rFonts w:ascii="GHEA Grapalat" w:eastAsia="Calibri" w:hAnsi="GHEA Grapalat"/>
                <w:sz w:val="18"/>
                <w:szCs w:val="18"/>
              </w:rPr>
            </w:pPr>
            <w:proofErr w:type="spellStart"/>
            <w:r w:rsidRPr="00C730CA">
              <w:rPr>
                <w:rFonts w:ascii="GHEA Grapalat" w:eastAsia="Calibri" w:hAnsi="GHEA Grapalat"/>
                <w:sz w:val="18"/>
                <w:szCs w:val="18"/>
              </w:rPr>
              <w:t>Հայտարարված</w:t>
            </w:r>
            <w:proofErr w:type="spellEnd"/>
            <w:r w:rsidRPr="00C730CA">
              <w:rPr>
                <w:rFonts w:ascii="GHEA Grapalat" w:eastAsia="Calibri" w:hAnsi="GHEA Grapalat"/>
                <w:sz w:val="18"/>
                <w:szCs w:val="18"/>
              </w:rPr>
              <w:t xml:space="preserve"> </w:t>
            </w:r>
            <w:proofErr w:type="spellStart"/>
            <w:r w:rsidRPr="00C730CA">
              <w:rPr>
                <w:rFonts w:ascii="GHEA Grapalat" w:eastAsia="Calibri" w:hAnsi="GHEA Grapalat"/>
                <w:sz w:val="18"/>
                <w:szCs w:val="18"/>
              </w:rPr>
              <w:t>գինը</w:t>
            </w:r>
            <w:proofErr w:type="spellEnd"/>
          </w:p>
        </w:tc>
        <w:tc>
          <w:tcPr>
            <w:tcW w:w="3510" w:type="dxa"/>
            <w:tcBorders>
              <w:top w:val="single" w:sz="6" w:space="0" w:color="auto"/>
              <w:left w:val="single" w:sz="6" w:space="0" w:color="auto"/>
              <w:right w:val="single" w:sz="6" w:space="0" w:color="auto"/>
            </w:tcBorders>
          </w:tcPr>
          <w:p w:rsidR="00AB3A04" w:rsidRPr="00C730CA" w:rsidRDefault="000B7C28" w:rsidP="00630631">
            <w:pPr>
              <w:rPr>
                <w:rFonts w:ascii="GHEA Grapalat" w:hAnsi="GHEA Grapalat"/>
                <w:bCs/>
                <w:sz w:val="18"/>
                <w:szCs w:val="18"/>
              </w:rPr>
            </w:pPr>
            <w:r w:rsidRPr="00C730CA">
              <w:rPr>
                <w:rFonts w:ascii="GHEA Grapalat" w:hAnsi="GHEA Grapalat"/>
                <w:bCs/>
                <w:sz w:val="18"/>
                <w:szCs w:val="18"/>
              </w:rPr>
              <w:t>26,645,000</w:t>
            </w:r>
            <w:r w:rsidR="00933DB7" w:rsidRPr="00C730CA">
              <w:rPr>
                <w:rFonts w:ascii="GHEA Grapalat" w:hAnsi="GHEA Grapalat"/>
                <w:bCs/>
                <w:sz w:val="18"/>
                <w:szCs w:val="18"/>
              </w:rPr>
              <w:t xml:space="preserve"> </w:t>
            </w:r>
            <w:r w:rsidR="00AB3A04" w:rsidRPr="00C730CA">
              <w:rPr>
                <w:rFonts w:ascii="GHEA Grapalat" w:hAnsi="GHEA Grapalat"/>
                <w:bCs/>
                <w:sz w:val="18"/>
                <w:szCs w:val="18"/>
              </w:rPr>
              <w:t xml:space="preserve">ՀՀ դրամ </w:t>
            </w:r>
          </w:p>
        </w:tc>
        <w:tc>
          <w:tcPr>
            <w:tcW w:w="2826" w:type="dxa"/>
            <w:tcBorders>
              <w:top w:val="single" w:sz="6" w:space="0" w:color="auto"/>
              <w:left w:val="single" w:sz="6" w:space="0" w:color="auto"/>
              <w:right w:val="single" w:sz="6" w:space="0" w:color="auto"/>
            </w:tcBorders>
          </w:tcPr>
          <w:p w:rsidR="00AB3A04" w:rsidRPr="00C730CA" w:rsidRDefault="000B7C28" w:rsidP="00630631">
            <w:pPr>
              <w:rPr>
                <w:rFonts w:ascii="GHEA Grapalat" w:hAnsi="GHEA Grapalat"/>
                <w:bCs/>
                <w:sz w:val="18"/>
                <w:szCs w:val="18"/>
              </w:rPr>
            </w:pPr>
            <w:r w:rsidRPr="00C730CA">
              <w:rPr>
                <w:rFonts w:ascii="GHEA Grapalat" w:hAnsi="GHEA Grapalat"/>
                <w:bCs/>
                <w:sz w:val="18"/>
                <w:szCs w:val="18"/>
              </w:rPr>
              <w:t>30,917,163 ՀՀ դրամ</w:t>
            </w:r>
          </w:p>
        </w:tc>
      </w:tr>
      <w:tr w:rsidR="000B7C28" w:rsidRPr="00C730CA" w:rsidTr="00C730CA">
        <w:tc>
          <w:tcPr>
            <w:tcW w:w="3978" w:type="dxa"/>
            <w:tcBorders>
              <w:top w:val="single" w:sz="6" w:space="0" w:color="auto"/>
              <w:left w:val="single" w:sz="6" w:space="0" w:color="auto"/>
              <w:right w:val="single" w:sz="6" w:space="0" w:color="auto"/>
            </w:tcBorders>
            <w:shd w:val="clear" w:color="auto" w:fill="DBE5F1" w:themeFill="accent1" w:themeFillTint="33"/>
          </w:tcPr>
          <w:p w:rsidR="000B7C28" w:rsidRPr="00C730CA" w:rsidRDefault="000B7C28" w:rsidP="00630631">
            <w:pPr>
              <w:pStyle w:val="NormalWeb"/>
              <w:rPr>
                <w:rFonts w:ascii="GHEA Grapalat" w:eastAsia="Calibri" w:hAnsi="GHEA Grapalat"/>
                <w:sz w:val="18"/>
                <w:szCs w:val="18"/>
              </w:rPr>
            </w:pPr>
            <w:proofErr w:type="spellStart"/>
            <w:r w:rsidRPr="00C730CA">
              <w:rPr>
                <w:rFonts w:ascii="GHEA Grapalat" w:eastAsia="Calibri" w:hAnsi="GHEA Grapalat"/>
                <w:sz w:val="18"/>
                <w:szCs w:val="18"/>
              </w:rPr>
              <w:t>Վերջնական</w:t>
            </w:r>
            <w:proofErr w:type="spellEnd"/>
            <w:r w:rsidRPr="00C730CA">
              <w:rPr>
                <w:rFonts w:ascii="GHEA Grapalat" w:eastAsia="Calibri" w:hAnsi="GHEA Grapalat"/>
                <w:sz w:val="18"/>
                <w:szCs w:val="18"/>
              </w:rPr>
              <w:t xml:space="preserve"> </w:t>
            </w:r>
            <w:proofErr w:type="spellStart"/>
            <w:r w:rsidRPr="00C730CA">
              <w:rPr>
                <w:rFonts w:ascii="GHEA Grapalat" w:eastAsia="Calibri" w:hAnsi="GHEA Grapalat"/>
                <w:sz w:val="18"/>
                <w:szCs w:val="18"/>
              </w:rPr>
              <w:t>գնահատված</w:t>
            </w:r>
            <w:proofErr w:type="spellEnd"/>
            <w:r w:rsidRPr="00C730CA">
              <w:rPr>
                <w:rFonts w:ascii="GHEA Grapalat" w:eastAsia="Calibri" w:hAnsi="GHEA Grapalat"/>
                <w:sz w:val="18"/>
                <w:szCs w:val="18"/>
              </w:rPr>
              <w:t xml:space="preserve"> </w:t>
            </w:r>
            <w:proofErr w:type="spellStart"/>
            <w:r w:rsidRPr="00C730CA">
              <w:rPr>
                <w:rFonts w:ascii="GHEA Grapalat" w:eastAsia="Calibri" w:hAnsi="GHEA Grapalat"/>
                <w:sz w:val="18"/>
                <w:szCs w:val="18"/>
              </w:rPr>
              <w:t>գինը</w:t>
            </w:r>
            <w:proofErr w:type="spellEnd"/>
            <w:r w:rsidRPr="00C730CA">
              <w:rPr>
                <w:rFonts w:ascii="GHEA Grapalat" w:eastAsia="Calibri" w:hAnsi="GHEA Grapalat"/>
                <w:sz w:val="18"/>
                <w:szCs w:val="18"/>
              </w:rPr>
              <w:t xml:space="preserve">  </w:t>
            </w:r>
          </w:p>
        </w:tc>
        <w:tc>
          <w:tcPr>
            <w:tcW w:w="3510" w:type="dxa"/>
            <w:tcBorders>
              <w:top w:val="single" w:sz="6" w:space="0" w:color="auto"/>
              <w:left w:val="single" w:sz="6" w:space="0" w:color="auto"/>
              <w:right w:val="single" w:sz="6" w:space="0" w:color="auto"/>
            </w:tcBorders>
          </w:tcPr>
          <w:p w:rsidR="000B7C28" w:rsidRPr="00C730CA" w:rsidRDefault="000B7C28" w:rsidP="000149AF">
            <w:pPr>
              <w:rPr>
                <w:rFonts w:ascii="GHEA Grapalat" w:hAnsi="GHEA Grapalat"/>
                <w:bCs/>
                <w:sz w:val="18"/>
                <w:szCs w:val="18"/>
              </w:rPr>
            </w:pPr>
            <w:r w:rsidRPr="00C730CA">
              <w:rPr>
                <w:rFonts w:ascii="GHEA Grapalat" w:hAnsi="GHEA Grapalat"/>
                <w:bCs/>
                <w:sz w:val="18"/>
                <w:szCs w:val="18"/>
              </w:rPr>
              <w:t>26,645,000</w:t>
            </w:r>
            <w:r w:rsidR="00933DB7" w:rsidRPr="00C730CA">
              <w:rPr>
                <w:rFonts w:ascii="GHEA Grapalat" w:hAnsi="GHEA Grapalat"/>
                <w:bCs/>
                <w:sz w:val="18"/>
                <w:szCs w:val="18"/>
              </w:rPr>
              <w:t xml:space="preserve"> </w:t>
            </w:r>
            <w:r w:rsidRPr="00C730CA">
              <w:rPr>
                <w:rFonts w:ascii="GHEA Grapalat" w:hAnsi="GHEA Grapalat"/>
                <w:bCs/>
                <w:sz w:val="18"/>
                <w:szCs w:val="18"/>
              </w:rPr>
              <w:t xml:space="preserve">ՀՀ դրամ </w:t>
            </w:r>
          </w:p>
        </w:tc>
        <w:tc>
          <w:tcPr>
            <w:tcW w:w="2826" w:type="dxa"/>
            <w:tcBorders>
              <w:top w:val="single" w:sz="6" w:space="0" w:color="auto"/>
              <w:left w:val="single" w:sz="6" w:space="0" w:color="auto"/>
              <w:right w:val="single" w:sz="6" w:space="0" w:color="auto"/>
            </w:tcBorders>
          </w:tcPr>
          <w:p w:rsidR="000B7C28" w:rsidRPr="00C730CA" w:rsidRDefault="000B7C28" w:rsidP="000149AF">
            <w:pPr>
              <w:rPr>
                <w:rFonts w:ascii="GHEA Grapalat" w:hAnsi="GHEA Grapalat"/>
                <w:bCs/>
                <w:sz w:val="18"/>
                <w:szCs w:val="18"/>
              </w:rPr>
            </w:pPr>
            <w:r w:rsidRPr="00C730CA">
              <w:rPr>
                <w:rFonts w:ascii="GHEA Grapalat" w:hAnsi="GHEA Grapalat"/>
                <w:bCs/>
                <w:sz w:val="18"/>
                <w:szCs w:val="18"/>
              </w:rPr>
              <w:t>30,917,163 ՀՀ դրամ</w:t>
            </w:r>
          </w:p>
        </w:tc>
      </w:tr>
      <w:tr w:rsidR="000B7C28" w:rsidRPr="00C730CA" w:rsidTr="00C730CA">
        <w:tc>
          <w:tcPr>
            <w:tcW w:w="3978" w:type="dxa"/>
            <w:tcBorders>
              <w:top w:val="single" w:sz="6" w:space="0" w:color="auto"/>
              <w:left w:val="single" w:sz="6" w:space="0" w:color="auto"/>
              <w:right w:val="single" w:sz="6" w:space="0" w:color="auto"/>
            </w:tcBorders>
            <w:shd w:val="clear" w:color="auto" w:fill="DBE5F1" w:themeFill="accent1" w:themeFillTint="33"/>
          </w:tcPr>
          <w:p w:rsidR="000B7C28" w:rsidRPr="00C730CA" w:rsidRDefault="000B7C28" w:rsidP="00630631">
            <w:pPr>
              <w:pStyle w:val="NormalWeb"/>
              <w:rPr>
                <w:rFonts w:ascii="GHEA Grapalat" w:eastAsia="Calibri" w:hAnsi="GHEA Grapalat"/>
                <w:sz w:val="18"/>
                <w:szCs w:val="18"/>
              </w:rPr>
            </w:pPr>
            <w:proofErr w:type="spellStart"/>
            <w:r w:rsidRPr="00C730CA">
              <w:rPr>
                <w:rFonts w:ascii="GHEA Grapalat" w:eastAsia="Calibri" w:hAnsi="GHEA Grapalat"/>
                <w:sz w:val="18"/>
                <w:szCs w:val="18"/>
              </w:rPr>
              <w:t>Վերջնական</w:t>
            </w:r>
            <w:proofErr w:type="spellEnd"/>
            <w:r w:rsidRPr="00C730CA">
              <w:rPr>
                <w:rFonts w:ascii="GHEA Grapalat" w:eastAsia="Calibri" w:hAnsi="GHEA Grapalat"/>
                <w:sz w:val="18"/>
                <w:szCs w:val="18"/>
              </w:rPr>
              <w:t xml:space="preserve"> </w:t>
            </w:r>
            <w:proofErr w:type="spellStart"/>
            <w:r w:rsidRPr="00C730CA">
              <w:rPr>
                <w:rFonts w:ascii="GHEA Grapalat" w:eastAsia="Calibri" w:hAnsi="GHEA Grapalat"/>
                <w:sz w:val="18"/>
                <w:szCs w:val="18"/>
              </w:rPr>
              <w:t>բանակցված</w:t>
            </w:r>
            <w:proofErr w:type="spellEnd"/>
            <w:r w:rsidRPr="00C730CA">
              <w:rPr>
                <w:rFonts w:ascii="GHEA Grapalat" w:eastAsia="Calibri" w:hAnsi="GHEA Grapalat"/>
                <w:sz w:val="18"/>
                <w:szCs w:val="18"/>
              </w:rPr>
              <w:t xml:space="preserve"> </w:t>
            </w:r>
            <w:proofErr w:type="spellStart"/>
            <w:r w:rsidRPr="00C730CA">
              <w:rPr>
                <w:rFonts w:ascii="GHEA Grapalat" w:eastAsia="Calibri" w:hAnsi="GHEA Grapalat"/>
                <w:sz w:val="18"/>
                <w:szCs w:val="18"/>
              </w:rPr>
              <w:t>գինը</w:t>
            </w:r>
            <w:proofErr w:type="spellEnd"/>
          </w:p>
        </w:tc>
        <w:tc>
          <w:tcPr>
            <w:tcW w:w="3510" w:type="dxa"/>
            <w:tcBorders>
              <w:top w:val="single" w:sz="6" w:space="0" w:color="auto"/>
              <w:left w:val="single" w:sz="6" w:space="0" w:color="auto"/>
              <w:right w:val="single" w:sz="6" w:space="0" w:color="auto"/>
            </w:tcBorders>
          </w:tcPr>
          <w:p w:rsidR="00C730CA" w:rsidRPr="00C730CA" w:rsidRDefault="00547BBB" w:rsidP="00C730CA">
            <w:pPr>
              <w:pStyle w:val="ListParagraph"/>
              <w:numPr>
                <w:ilvl w:val="0"/>
                <w:numId w:val="10"/>
              </w:numPr>
              <w:ind w:left="252" w:hanging="252"/>
              <w:rPr>
                <w:rFonts w:ascii="GHEA Grapalat" w:hAnsi="GHEA Grapalat"/>
                <w:bCs/>
                <w:sz w:val="18"/>
                <w:szCs w:val="18"/>
              </w:rPr>
            </w:pPr>
            <w:r w:rsidRPr="00C730CA">
              <w:rPr>
                <w:rFonts w:ascii="GHEA Grapalat" w:hAnsi="GHEA Grapalat"/>
                <w:bCs/>
                <w:sz w:val="18"/>
                <w:szCs w:val="18"/>
              </w:rPr>
              <w:t xml:space="preserve">Պայմանագիր No. CARMAC-CS-16/126 (CARMAC-TF Audit)՝  </w:t>
            </w:r>
            <w:r w:rsidRPr="00C730CA">
              <w:rPr>
                <w:rFonts w:ascii="GHEA Grapalat" w:hAnsi="GHEA Grapalat"/>
                <w:b/>
                <w:bCs/>
                <w:sz w:val="18"/>
                <w:szCs w:val="18"/>
              </w:rPr>
              <w:t xml:space="preserve">7,128,000 ՀՀ դրամ ներառյալ ԱԱՀ  </w:t>
            </w:r>
          </w:p>
          <w:p w:rsidR="000B7C28" w:rsidRPr="00C730CA" w:rsidRDefault="00547BBB" w:rsidP="00C730CA">
            <w:pPr>
              <w:pStyle w:val="ListParagraph"/>
              <w:numPr>
                <w:ilvl w:val="0"/>
                <w:numId w:val="10"/>
              </w:numPr>
              <w:ind w:left="252" w:hanging="252"/>
              <w:rPr>
                <w:rFonts w:ascii="GHEA Grapalat" w:hAnsi="GHEA Grapalat"/>
                <w:bCs/>
                <w:sz w:val="18"/>
                <w:szCs w:val="18"/>
              </w:rPr>
            </w:pPr>
            <w:r w:rsidRPr="00C730CA">
              <w:rPr>
                <w:rFonts w:ascii="GHEA Grapalat" w:hAnsi="GHEA Grapalat"/>
                <w:bCs/>
                <w:sz w:val="18"/>
                <w:szCs w:val="18"/>
              </w:rPr>
              <w:t>Պայմանագիր No. CARMAC2-CS-16/12 (CARMAC2 Audit)</w:t>
            </w:r>
            <w:r w:rsidRPr="00C730CA">
              <w:rPr>
                <w:rFonts w:ascii="GHEA Grapalat" w:hAnsi="GHEA Grapalat"/>
                <w:b/>
                <w:bCs/>
                <w:sz w:val="18"/>
                <w:szCs w:val="18"/>
              </w:rPr>
              <w:t xml:space="preserve">՝ 24,846,000 ՀՀ դրամ ներառյալ ԱԱՀ  </w:t>
            </w:r>
            <w:r w:rsidRPr="00C730CA">
              <w:rPr>
                <w:rFonts w:ascii="GHEA Grapalat" w:hAnsi="GHEA Grapalat"/>
                <w:bCs/>
                <w:sz w:val="18"/>
                <w:szCs w:val="18"/>
              </w:rPr>
              <w:t xml:space="preserve"> </w:t>
            </w:r>
          </w:p>
        </w:tc>
        <w:tc>
          <w:tcPr>
            <w:tcW w:w="2826" w:type="dxa"/>
            <w:tcBorders>
              <w:top w:val="single" w:sz="6" w:space="0" w:color="auto"/>
              <w:left w:val="single" w:sz="6" w:space="0" w:color="auto"/>
              <w:right w:val="single" w:sz="6" w:space="0" w:color="auto"/>
            </w:tcBorders>
          </w:tcPr>
          <w:p w:rsidR="000B7C28" w:rsidRPr="00C730CA" w:rsidRDefault="000B7C28" w:rsidP="00630631">
            <w:pPr>
              <w:rPr>
                <w:rFonts w:ascii="GHEA Grapalat" w:hAnsi="GHEA Grapalat"/>
                <w:bCs/>
                <w:sz w:val="18"/>
                <w:szCs w:val="18"/>
              </w:rPr>
            </w:pPr>
            <w:r w:rsidRPr="00C730CA">
              <w:rPr>
                <w:rFonts w:ascii="GHEA Grapalat" w:hAnsi="GHEA Grapalat"/>
                <w:bCs/>
                <w:sz w:val="18"/>
                <w:szCs w:val="18"/>
              </w:rPr>
              <w:t>-</w:t>
            </w:r>
          </w:p>
        </w:tc>
      </w:tr>
      <w:tr w:rsidR="00933DB7" w:rsidRPr="00C730CA" w:rsidTr="00C730CA">
        <w:tc>
          <w:tcPr>
            <w:tcW w:w="3978" w:type="dxa"/>
            <w:tcBorders>
              <w:top w:val="single" w:sz="18" w:space="0" w:color="auto"/>
              <w:left w:val="single" w:sz="6" w:space="0" w:color="auto"/>
              <w:bottom w:val="single" w:sz="4" w:space="0" w:color="auto"/>
              <w:right w:val="single" w:sz="6" w:space="0" w:color="auto"/>
            </w:tcBorders>
            <w:shd w:val="clear" w:color="auto" w:fill="DBE5F1" w:themeFill="accent1" w:themeFillTint="33"/>
          </w:tcPr>
          <w:p w:rsidR="00933DB7" w:rsidRPr="00C730CA" w:rsidRDefault="00933DB7" w:rsidP="00FE1F89">
            <w:pPr>
              <w:rPr>
                <w:rFonts w:ascii="GHEA Grapalat" w:hAnsi="GHEA Grapalat"/>
                <w:sz w:val="18"/>
                <w:szCs w:val="18"/>
              </w:rPr>
            </w:pPr>
            <w:r w:rsidRPr="00C730CA">
              <w:rPr>
                <w:rFonts w:ascii="GHEA Grapalat" w:hAnsi="GHEA Grapalat"/>
                <w:sz w:val="18"/>
                <w:szCs w:val="18"/>
              </w:rPr>
              <w:t>Զբաղեցրած տեղը</w:t>
            </w:r>
          </w:p>
        </w:tc>
        <w:tc>
          <w:tcPr>
            <w:tcW w:w="3510" w:type="dxa"/>
            <w:tcBorders>
              <w:top w:val="single" w:sz="18" w:space="0" w:color="auto"/>
              <w:left w:val="single" w:sz="6" w:space="0" w:color="auto"/>
              <w:bottom w:val="single" w:sz="4" w:space="0" w:color="auto"/>
              <w:right w:val="single" w:sz="6" w:space="0" w:color="auto"/>
            </w:tcBorders>
          </w:tcPr>
          <w:p w:rsidR="00933DB7" w:rsidRPr="00C730CA" w:rsidRDefault="00933DB7" w:rsidP="006A4A76">
            <w:pPr>
              <w:jc w:val="center"/>
              <w:rPr>
                <w:rFonts w:ascii="GHEA Grapalat" w:hAnsi="GHEA Grapalat"/>
                <w:sz w:val="18"/>
                <w:szCs w:val="18"/>
              </w:rPr>
            </w:pPr>
            <w:r w:rsidRPr="00C730CA">
              <w:rPr>
                <w:rFonts w:ascii="GHEA Grapalat" w:hAnsi="GHEA Grapalat"/>
                <w:sz w:val="18"/>
                <w:szCs w:val="18"/>
              </w:rPr>
              <w:t>1</w:t>
            </w:r>
          </w:p>
        </w:tc>
        <w:tc>
          <w:tcPr>
            <w:tcW w:w="2826" w:type="dxa"/>
            <w:tcBorders>
              <w:top w:val="single" w:sz="18" w:space="0" w:color="auto"/>
              <w:left w:val="single" w:sz="6" w:space="0" w:color="auto"/>
              <w:bottom w:val="single" w:sz="4" w:space="0" w:color="auto"/>
              <w:right w:val="single" w:sz="6" w:space="0" w:color="auto"/>
            </w:tcBorders>
          </w:tcPr>
          <w:p w:rsidR="00933DB7" w:rsidRPr="00C730CA" w:rsidRDefault="00933DB7" w:rsidP="006A4A76">
            <w:pPr>
              <w:jc w:val="center"/>
              <w:rPr>
                <w:rFonts w:ascii="GHEA Grapalat" w:hAnsi="GHEA Grapalat"/>
                <w:sz w:val="18"/>
                <w:szCs w:val="18"/>
              </w:rPr>
            </w:pPr>
            <w:r w:rsidRPr="00C730CA">
              <w:rPr>
                <w:rFonts w:ascii="GHEA Grapalat" w:hAnsi="GHEA Grapalat"/>
                <w:sz w:val="18"/>
                <w:szCs w:val="18"/>
              </w:rPr>
              <w:t>2</w:t>
            </w:r>
          </w:p>
        </w:tc>
      </w:tr>
    </w:tbl>
    <w:p w:rsidR="00AF7403" w:rsidRPr="00C730CA" w:rsidRDefault="00F64FD9" w:rsidP="00506B45">
      <w:pPr>
        <w:tabs>
          <w:tab w:val="left" w:pos="720"/>
          <w:tab w:val="left" w:pos="1080"/>
          <w:tab w:val="right" w:leader="dot" w:pos="8640"/>
        </w:tabs>
        <w:overflowPunct w:val="0"/>
        <w:autoSpaceDE w:val="0"/>
        <w:autoSpaceDN w:val="0"/>
        <w:adjustRightInd w:val="0"/>
        <w:jc w:val="both"/>
        <w:textAlignment w:val="baseline"/>
        <w:rPr>
          <w:rFonts w:ascii="GHEA Grapalat" w:hAnsi="GHEA Grapalat"/>
          <w:sz w:val="18"/>
          <w:szCs w:val="18"/>
        </w:rPr>
      </w:pPr>
      <w:r w:rsidRPr="00C730CA">
        <w:rPr>
          <w:rFonts w:ascii="GHEA Grapalat" w:hAnsi="GHEA Grapalat"/>
          <w:sz w:val="18"/>
          <w:szCs w:val="18"/>
        </w:rPr>
        <w:t>Կարճ ցուցակում ընդգրկված այլ խորհրդատուները, որոնք չեն ներկայացրել առաջարկ</w:t>
      </w:r>
      <w:r w:rsidR="0074782B" w:rsidRPr="00C730CA">
        <w:rPr>
          <w:rFonts w:ascii="GHEA Grapalat" w:hAnsi="GHEA Grapalat"/>
          <w:sz w:val="18"/>
          <w:szCs w:val="18"/>
        </w:rPr>
        <w:t xml:space="preserve">` </w:t>
      </w:r>
      <w:r w:rsidRPr="00C730CA">
        <w:rPr>
          <w:rFonts w:ascii="GHEA Grapalat" w:hAnsi="GHEA Grapalat"/>
          <w:sz w:val="18"/>
          <w:szCs w:val="18"/>
        </w:rPr>
        <w:t xml:space="preserve"> </w:t>
      </w:r>
      <w:r w:rsidR="000B7C28" w:rsidRPr="00C730CA">
        <w:rPr>
          <w:rFonts w:ascii="GHEA Grapalat" w:hAnsi="GHEA Grapalat"/>
          <w:sz w:val="18"/>
          <w:szCs w:val="18"/>
        </w:rPr>
        <w:t xml:space="preserve">ICS Baker Tilly Klitou and Partners SRL (Մոլդովա), PricewaterhouseCoopers Audit sh.p.k. (Ալբանիա), PHP Audit CJSC (Հայաստան)  </w:t>
      </w:r>
    </w:p>
    <w:sectPr w:rsidR="00AF7403" w:rsidRPr="00C730CA" w:rsidSect="008F1631">
      <w:headerReference w:type="default" r:id="rId7"/>
      <w:footerReference w:type="even" r:id="rId8"/>
      <w:pgSz w:w="12240" w:h="15840"/>
      <w:pgMar w:top="540" w:right="1080" w:bottom="540" w:left="1080" w:header="450" w:footer="720" w:gutter="0"/>
      <w:pgNumType w:fmt="numberInDash"/>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20E4" w:rsidRDefault="002B20E4" w:rsidP="003D5297">
      <w:r>
        <w:separator/>
      </w:r>
    </w:p>
  </w:endnote>
  <w:endnote w:type="continuationSeparator" w:id="0">
    <w:p w:rsidR="002B20E4" w:rsidRDefault="002B20E4" w:rsidP="003D52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B0A" w:rsidRDefault="0022584D" w:rsidP="00FE1F89">
    <w:pPr>
      <w:pStyle w:val="Footer"/>
      <w:framePr w:wrap="around" w:vAnchor="text" w:hAnchor="margin" w:xAlign="center" w:y="1"/>
      <w:rPr>
        <w:rStyle w:val="PageNumber"/>
      </w:rPr>
    </w:pPr>
    <w:r>
      <w:rPr>
        <w:rStyle w:val="PageNumber"/>
      </w:rPr>
      <w:fldChar w:fldCharType="begin"/>
    </w:r>
    <w:r w:rsidR="006A6B0A">
      <w:rPr>
        <w:rStyle w:val="PageNumber"/>
      </w:rPr>
      <w:instrText xml:space="preserve">PAGE  </w:instrText>
    </w:r>
    <w:r>
      <w:rPr>
        <w:rStyle w:val="PageNumber"/>
      </w:rPr>
      <w:fldChar w:fldCharType="end"/>
    </w:r>
  </w:p>
  <w:p w:rsidR="006A6B0A" w:rsidRDefault="006A6B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20E4" w:rsidRDefault="002B20E4" w:rsidP="003D5297">
      <w:r>
        <w:separator/>
      </w:r>
    </w:p>
  </w:footnote>
  <w:footnote w:type="continuationSeparator" w:id="0">
    <w:p w:rsidR="002B20E4" w:rsidRDefault="002B20E4" w:rsidP="003D52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B0A" w:rsidRPr="00825317" w:rsidRDefault="006A6B0A" w:rsidP="00FE1F89">
    <w:pPr>
      <w:pStyle w:val="Header"/>
      <w:jc w:val="right"/>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BA2BEB"/>
    <w:multiLevelType w:val="hybridMultilevel"/>
    <w:tmpl w:val="120E137E"/>
    <w:lvl w:ilvl="0" w:tplc="B48000C0">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nsid w:val="40AF3B41"/>
    <w:multiLevelType w:val="hybridMultilevel"/>
    <w:tmpl w:val="A7923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AF6083"/>
    <w:multiLevelType w:val="hybridMultilevel"/>
    <w:tmpl w:val="96FA77F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nsid w:val="4CF22123"/>
    <w:multiLevelType w:val="hybridMultilevel"/>
    <w:tmpl w:val="2D78B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844960"/>
    <w:multiLevelType w:val="singleLevel"/>
    <w:tmpl w:val="6DEC6CB0"/>
    <w:lvl w:ilvl="0">
      <w:start w:val="1"/>
      <w:numFmt w:val="none"/>
      <w:lvlText w:val=""/>
      <w:legacy w:legacy="1" w:legacySpace="120" w:legacyIndent="360"/>
      <w:lvlJc w:val="left"/>
      <w:pPr>
        <w:ind w:left="1080" w:hanging="360"/>
      </w:pPr>
      <w:rPr>
        <w:rFonts w:ascii="Symbol" w:hAnsi="Symbol" w:hint="default"/>
      </w:rPr>
    </w:lvl>
  </w:abstractNum>
  <w:abstractNum w:abstractNumId="5">
    <w:nsid w:val="58993042"/>
    <w:multiLevelType w:val="hybridMultilevel"/>
    <w:tmpl w:val="A0B24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5F24AD"/>
    <w:multiLevelType w:val="hybridMultilevel"/>
    <w:tmpl w:val="84E0FAF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nsid w:val="5CBD7D25"/>
    <w:multiLevelType w:val="hybridMultilevel"/>
    <w:tmpl w:val="120E137E"/>
    <w:lvl w:ilvl="0" w:tplc="B48000C0">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nsid w:val="67197EE6"/>
    <w:multiLevelType w:val="hybridMultilevel"/>
    <w:tmpl w:val="7652A8BE"/>
    <w:lvl w:ilvl="0" w:tplc="2B1C2944">
      <w:start w:val="1"/>
      <w:numFmt w:val="lowerRoman"/>
      <w:lvlText w:val="(%1)"/>
      <w:lvlJc w:val="left"/>
      <w:pPr>
        <w:ind w:left="1548" w:hanging="720"/>
      </w:pPr>
      <w:rPr>
        <w:rFonts w:hint="default"/>
      </w:r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9">
    <w:nsid w:val="71E81DCA"/>
    <w:multiLevelType w:val="hybridMultilevel"/>
    <w:tmpl w:val="120E137E"/>
    <w:lvl w:ilvl="0" w:tplc="B48000C0">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8"/>
  </w:num>
  <w:num w:numId="2">
    <w:abstractNumId w:val="9"/>
  </w:num>
  <w:num w:numId="3">
    <w:abstractNumId w:val="7"/>
  </w:num>
  <w:num w:numId="4">
    <w:abstractNumId w:val="0"/>
  </w:num>
  <w:num w:numId="5">
    <w:abstractNumId w:val="3"/>
  </w:num>
  <w:num w:numId="6">
    <w:abstractNumId w:val="1"/>
  </w:num>
  <w:num w:numId="7">
    <w:abstractNumId w:val="6"/>
  </w:num>
  <w:num w:numId="8">
    <w:abstractNumId w:val="4"/>
  </w:num>
  <w:num w:numId="9">
    <w:abstractNumId w:val="5"/>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66D40"/>
    <w:rsid w:val="00005AC1"/>
    <w:rsid w:val="00007D03"/>
    <w:rsid w:val="0003379D"/>
    <w:rsid w:val="00040D9C"/>
    <w:rsid w:val="000428AA"/>
    <w:rsid w:val="000435E5"/>
    <w:rsid w:val="000440E8"/>
    <w:rsid w:val="00044B38"/>
    <w:rsid w:val="00047C7D"/>
    <w:rsid w:val="000533A0"/>
    <w:rsid w:val="00053B2B"/>
    <w:rsid w:val="00055336"/>
    <w:rsid w:val="0006097B"/>
    <w:rsid w:val="0006278E"/>
    <w:rsid w:val="000646D1"/>
    <w:rsid w:val="00071C30"/>
    <w:rsid w:val="000747BA"/>
    <w:rsid w:val="0007688C"/>
    <w:rsid w:val="000769F5"/>
    <w:rsid w:val="000835E4"/>
    <w:rsid w:val="00087464"/>
    <w:rsid w:val="000878E7"/>
    <w:rsid w:val="00091B30"/>
    <w:rsid w:val="00094C18"/>
    <w:rsid w:val="00096152"/>
    <w:rsid w:val="000A0B0A"/>
    <w:rsid w:val="000A1DDE"/>
    <w:rsid w:val="000A3C05"/>
    <w:rsid w:val="000A46BB"/>
    <w:rsid w:val="000A4FF7"/>
    <w:rsid w:val="000B15BD"/>
    <w:rsid w:val="000B34FE"/>
    <w:rsid w:val="000B72B1"/>
    <w:rsid w:val="000B7C28"/>
    <w:rsid w:val="000C1070"/>
    <w:rsid w:val="000D40BC"/>
    <w:rsid w:val="000D42D1"/>
    <w:rsid w:val="000D4BD9"/>
    <w:rsid w:val="000D617D"/>
    <w:rsid w:val="000E05B0"/>
    <w:rsid w:val="000E1E7D"/>
    <w:rsid w:val="000E236C"/>
    <w:rsid w:val="000E2869"/>
    <w:rsid w:val="000E569D"/>
    <w:rsid w:val="000F0E00"/>
    <w:rsid w:val="000F4D1A"/>
    <w:rsid w:val="000F5F04"/>
    <w:rsid w:val="00101ADC"/>
    <w:rsid w:val="00101CF0"/>
    <w:rsid w:val="001038F8"/>
    <w:rsid w:val="00104E0C"/>
    <w:rsid w:val="001114DC"/>
    <w:rsid w:val="00111B31"/>
    <w:rsid w:val="001168AB"/>
    <w:rsid w:val="00117103"/>
    <w:rsid w:val="0012031C"/>
    <w:rsid w:val="00120427"/>
    <w:rsid w:val="001270AA"/>
    <w:rsid w:val="0013025A"/>
    <w:rsid w:val="00130556"/>
    <w:rsid w:val="00132F1A"/>
    <w:rsid w:val="00136A05"/>
    <w:rsid w:val="00140341"/>
    <w:rsid w:val="001443F4"/>
    <w:rsid w:val="00146B9E"/>
    <w:rsid w:val="0015164A"/>
    <w:rsid w:val="00154DA0"/>
    <w:rsid w:val="00161499"/>
    <w:rsid w:val="00162DFB"/>
    <w:rsid w:val="0016435E"/>
    <w:rsid w:val="00164DF3"/>
    <w:rsid w:val="00165817"/>
    <w:rsid w:val="001663B5"/>
    <w:rsid w:val="00167015"/>
    <w:rsid w:val="001730D1"/>
    <w:rsid w:val="00175D62"/>
    <w:rsid w:val="001812AE"/>
    <w:rsid w:val="00181E78"/>
    <w:rsid w:val="0018202D"/>
    <w:rsid w:val="001828E0"/>
    <w:rsid w:val="001877B5"/>
    <w:rsid w:val="00196353"/>
    <w:rsid w:val="001967D6"/>
    <w:rsid w:val="00196FED"/>
    <w:rsid w:val="001A1C72"/>
    <w:rsid w:val="001A1E45"/>
    <w:rsid w:val="001A1F13"/>
    <w:rsid w:val="001A3011"/>
    <w:rsid w:val="001A4551"/>
    <w:rsid w:val="001A7E57"/>
    <w:rsid w:val="001B4AC5"/>
    <w:rsid w:val="001B5575"/>
    <w:rsid w:val="001C15E7"/>
    <w:rsid w:val="001C2A31"/>
    <w:rsid w:val="001C6808"/>
    <w:rsid w:val="001C7E47"/>
    <w:rsid w:val="001D1291"/>
    <w:rsid w:val="001D46EF"/>
    <w:rsid w:val="001D568C"/>
    <w:rsid w:val="001D71D0"/>
    <w:rsid w:val="001D7AB7"/>
    <w:rsid w:val="001E077C"/>
    <w:rsid w:val="001E107D"/>
    <w:rsid w:val="001E1848"/>
    <w:rsid w:val="001E3EE1"/>
    <w:rsid w:val="001F2D57"/>
    <w:rsid w:val="001F3F39"/>
    <w:rsid w:val="001F4EE9"/>
    <w:rsid w:val="001F6AF6"/>
    <w:rsid w:val="001F7175"/>
    <w:rsid w:val="00201346"/>
    <w:rsid w:val="00206583"/>
    <w:rsid w:val="00207596"/>
    <w:rsid w:val="002165D3"/>
    <w:rsid w:val="00221639"/>
    <w:rsid w:val="00221BE7"/>
    <w:rsid w:val="00223C73"/>
    <w:rsid w:val="0022584D"/>
    <w:rsid w:val="00226F1E"/>
    <w:rsid w:val="002277B8"/>
    <w:rsid w:val="002300D3"/>
    <w:rsid w:val="00230101"/>
    <w:rsid w:val="00232214"/>
    <w:rsid w:val="0023548E"/>
    <w:rsid w:val="002361DD"/>
    <w:rsid w:val="00243576"/>
    <w:rsid w:val="00246646"/>
    <w:rsid w:val="00247063"/>
    <w:rsid w:val="00247F8E"/>
    <w:rsid w:val="002571C0"/>
    <w:rsid w:val="0026307F"/>
    <w:rsid w:val="00264136"/>
    <w:rsid w:val="00264C22"/>
    <w:rsid w:val="002718CC"/>
    <w:rsid w:val="00273D54"/>
    <w:rsid w:val="002754F4"/>
    <w:rsid w:val="002763DE"/>
    <w:rsid w:val="00280F90"/>
    <w:rsid w:val="00281173"/>
    <w:rsid w:val="002854D4"/>
    <w:rsid w:val="00285F29"/>
    <w:rsid w:val="002901CE"/>
    <w:rsid w:val="002911DC"/>
    <w:rsid w:val="00293186"/>
    <w:rsid w:val="00293660"/>
    <w:rsid w:val="002A33E0"/>
    <w:rsid w:val="002A4A20"/>
    <w:rsid w:val="002A69E8"/>
    <w:rsid w:val="002A7478"/>
    <w:rsid w:val="002A7BBC"/>
    <w:rsid w:val="002B13FB"/>
    <w:rsid w:val="002B20E4"/>
    <w:rsid w:val="002B2206"/>
    <w:rsid w:val="002C0CDE"/>
    <w:rsid w:val="002C1164"/>
    <w:rsid w:val="002C40A4"/>
    <w:rsid w:val="002D04D9"/>
    <w:rsid w:val="002D0C0C"/>
    <w:rsid w:val="002D0D93"/>
    <w:rsid w:val="002F1DD5"/>
    <w:rsid w:val="002F3079"/>
    <w:rsid w:val="002F61AE"/>
    <w:rsid w:val="002F6F21"/>
    <w:rsid w:val="002F77CD"/>
    <w:rsid w:val="003024F2"/>
    <w:rsid w:val="003031BD"/>
    <w:rsid w:val="00306346"/>
    <w:rsid w:val="003067E0"/>
    <w:rsid w:val="00311CC5"/>
    <w:rsid w:val="003169F4"/>
    <w:rsid w:val="003262FC"/>
    <w:rsid w:val="00337165"/>
    <w:rsid w:val="0034000E"/>
    <w:rsid w:val="003470E7"/>
    <w:rsid w:val="00347AA0"/>
    <w:rsid w:val="0035608D"/>
    <w:rsid w:val="003603AD"/>
    <w:rsid w:val="0036114C"/>
    <w:rsid w:val="00366703"/>
    <w:rsid w:val="003679B6"/>
    <w:rsid w:val="00377524"/>
    <w:rsid w:val="00380924"/>
    <w:rsid w:val="00383BF7"/>
    <w:rsid w:val="00390885"/>
    <w:rsid w:val="00391A39"/>
    <w:rsid w:val="00397E03"/>
    <w:rsid w:val="003A238B"/>
    <w:rsid w:val="003A3DCC"/>
    <w:rsid w:val="003A4153"/>
    <w:rsid w:val="003A4A85"/>
    <w:rsid w:val="003A5208"/>
    <w:rsid w:val="003A710B"/>
    <w:rsid w:val="003A777A"/>
    <w:rsid w:val="003B41F4"/>
    <w:rsid w:val="003B6C5B"/>
    <w:rsid w:val="003C1371"/>
    <w:rsid w:val="003C159D"/>
    <w:rsid w:val="003C6B5F"/>
    <w:rsid w:val="003D24B3"/>
    <w:rsid w:val="003D5297"/>
    <w:rsid w:val="003D5695"/>
    <w:rsid w:val="003E498B"/>
    <w:rsid w:val="003E573B"/>
    <w:rsid w:val="003F115B"/>
    <w:rsid w:val="00402D19"/>
    <w:rsid w:val="00406AED"/>
    <w:rsid w:val="004108CD"/>
    <w:rsid w:val="00411141"/>
    <w:rsid w:val="004113AE"/>
    <w:rsid w:val="00413646"/>
    <w:rsid w:val="00414220"/>
    <w:rsid w:val="00414434"/>
    <w:rsid w:val="00414D9B"/>
    <w:rsid w:val="0041561A"/>
    <w:rsid w:val="00420212"/>
    <w:rsid w:val="00420EB4"/>
    <w:rsid w:val="00424009"/>
    <w:rsid w:val="00425302"/>
    <w:rsid w:val="00426E0B"/>
    <w:rsid w:val="004276FE"/>
    <w:rsid w:val="004307F3"/>
    <w:rsid w:val="004368F1"/>
    <w:rsid w:val="00437230"/>
    <w:rsid w:val="00442123"/>
    <w:rsid w:val="004470E7"/>
    <w:rsid w:val="00450F45"/>
    <w:rsid w:val="00452EBA"/>
    <w:rsid w:val="00465E52"/>
    <w:rsid w:val="00466C0D"/>
    <w:rsid w:val="00474795"/>
    <w:rsid w:val="00480A7B"/>
    <w:rsid w:val="004861B6"/>
    <w:rsid w:val="00490E04"/>
    <w:rsid w:val="0049182D"/>
    <w:rsid w:val="00492E76"/>
    <w:rsid w:val="00497B84"/>
    <w:rsid w:val="004A1678"/>
    <w:rsid w:val="004A3B50"/>
    <w:rsid w:val="004A453D"/>
    <w:rsid w:val="004B043E"/>
    <w:rsid w:val="004B6B4C"/>
    <w:rsid w:val="004B6D24"/>
    <w:rsid w:val="004C109F"/>
    <w:rsid w:val="004D237C"/>
    <w:rsid w:val="004D3B72"/>
    <w:rsid w:val="004E0C1F"/>
    <w:rsid w:val="004E26E8"/>
    <w:rsid w:val="004E5AAE"/>
    <w:rsid w:val="004F0097"/>
    <w:rsid w:val="004F19F6"/>
    <w:rsid w:val="004F2355"/>
    <w:rsid w:val="0050196A"/>
    <w:rsid w:val="0050310A"/>
    <w:rsid w:val="005037BB"/>
    <w:rsid w:val="00506298"/>
    <w:rsid w:val="00506B45"/>
    <w:rsid w:val="00506CDD"/>
    <w:rsid w:val="00506D6E"/>
    <w:rsid w:val="00510253"/>
    <w:rsid w:val="00514C65"/>
    <w:rsid w:val="005208F7"/>
    <w:rsid w:val="005216E9"/>
    <w:rsid w:val="00521DA4"/>
    <w:rsid w:val="00534E6B"/>
    <w:rsid w:val="0053705E"/>
    <w:rsid w:val="0054436B"/>
    <w:rsid w:val="00547BBB"/>
    <w:rsid w:val="005512E9"/>
    <w:rsid w:val="0055252C"/>
    <w:rsid w:val="0055344B"/>
    <w:rsid w:val="005534A1"/>
    <w:rsid w:val="00555E01"/>
    <w:rsid w:val="00557D25"/>
    <w:rsid w:val="00561A78"/>
    <w:rsid w:val="00564A95"/>
    <w:rsid w:val="00566D87"/>
    <w:rsid w:val="00567C50"/>
    <w:rsid w:val="00570BB1"/>
    <w:rsid w:val="0057275B"/>
    <w:rsid w:val="00575FBA"/>
    <w:rsid w:val="0057799D"/>
    <w:rsid w:val="0058213C"/>
    <w:rsid w:val="00590956"/>
    <w:rsid w:val="005919C8"/>
    <w:rsid w:val="0059312A"/>
    <w:rsid w:val="00593715"/>
    <w:rsid w:val="00594B41"/>
    <w:rsid w:val="005954B3"/>
    <w:rsid w:val="005A0357"/>
    <w:rsid w:val="005A0CA8"/>
    <w:rsid w:val="005A10FF"/>
    <w:rsid w:val="005A32C8"/>
    <w:rsid w:val="005A3549"/>
    <w:rsid w:val="005B09EE"/>
    <w:rsid w:val="005B0A6B"/>
    <w:rsid w:val="005B3175"/>
    <w:rsid w:val="005B3915"/>
    <w:rsid w:val="005C42A9"/>
    <w:rsid w:val="005C48C2"/>
    <w:rsid w:val="005D205F"/>
    <w:rsid w:val="005D4194"/>
    <w:rsid w:val="005D4DD5"/>
    <w:rsid w:val="005E118E"/>
    <w:rsid w:val="005E155A"/>
    <w:rsid w:val="005E1DAA"/>
    <w:rsid w:val="005E601E"/>
    <w:rsid w:val="005F12EB"/>
    <w:rsid w:val="005F3008"/>
    <w:rsid w:val="005F47F3"/>
    <w:rsid w:val="005F65E3"/>
    <w:rsid w:val="005F7B71"/>
    <w:rsid w:val="00600FDB"/>
    <w:rsid w:val="0060185F"/>
    <w:rsid w:val="00605AB7"/>
    <w:rsid w:val="0061374A"/>
    <w:rsid w:val="00622430"/>
    <w:rsid w:val="00622D62"/>
    <w:rsid w:val="00622EC3"/>
    <w:rsid w:val="00626E4B"/>
    <w:rsid w:val="00630631"/>
    <w:rsid w:val="0063265E"/>
    <w:rsid w:val="00635258"/>
    <w:rsid w:val="00637102"/>
    <w:rsid w:val="006373B6"/>
    <w:rsid w:val="00640BF6"/>
    <w:rsid w:val="0064177E"/>
    <w:rsid w:val="0064218D"/>
    <w:rsid w:val="006421D1"/>
    <w:rsid w:val="0064288C"/>
    <w:rsid w:val="00644631"/>
    <w:rsid w:val="00647796"/>
    <w:rsid w:val="00650C28"/>
    <w:rsid w:val="00657075"/>
    <w:rsid w:val="00660698"/>
    <w:rsid w:val="006607E1"/>
    <w:rsid w:val="006663C4"/>
    <w:rsid w:val="006744FE"/>
    <w:rsid w:val="00677A74"/>
    <w:rsid w:val="00683015"/>
    <w:rsid w:val="00692779"/>
    <w:rsid w:val="006A4A76"/>
    <w:rsid w:val="006A60A3"/>
    <w:rsid w:val="006A6B0A"/>
    <w:rsid w:val="006A7F4D"/>
    <w:rsid w:val="006B0A5D"/>
    <w:rsid w:val="006B111B"/>
    <w:rsid w:val="006B235B"/>
    <w:rsid w:val="006C2C0A"/>
    <w:rsid w:val="006C3F92"/>
    <w:rsid w:val="006C50E7"/>
    <w:rsid w:val="006C5E52"/>
    <w:rsid w:val="006D0B5C"/>
    <w:rsid w:val="006D3624"/>
    <w:rsid w:val="006D4055"/>
    <w:rsid w:val="006D40EE"/>
    <w:rsid w:val="006D58AD"/>
    <w:rsid w:val="006E129F"/>
    <w:rsid w:val="006E2F96"/>
    <w:rsid w:val="006E4A85"/>
    <w:rsid w:val="006F5BE1"/>
    <w:rsid w:val="0070024E"/>
    <w:rsid w:val="00700EA7"/>
    <w:rsid w:val="00701449"/>
    <w:rsid w:val="00713E8C"/>
    <w:rsid w:val="00720674"/>
    <w:rsid w:val="00721826"/>
    <w:rsid w:val="00723155"/>
    <w:rsid w:val="00724734"/>
    <w:rsid w:val="00725417"/>
    <w:rsid w:val="00731C56"/>
    <w:rsid w:val="00732549"/>
    <w:rsid w:val="00732C30"/>
    <w:rsid w:val="00735E58"/>
    <w:rsid w:val="00737A64"/>
    <w:rsid w:val="00737F1C"/>
    <w:rsid w:val="00745D62"/>
    <w:rsid w:val="0074737A"/>
    <w:rsid w:val="0074782B"/>
    <w:rsid w:val="0075305A"/>
    <w:rsid w:val="007550ED"/>
    <w:rsid w:val="007610A8"/>
    <w:rsid w:val="007642B0"/>
    <w:rsid w:val="00767208"/>
    <w:rsid w:val="007672B7"/>
    <w:rsid w:val="00771535"/>
    <w:rsid w:val="00771C59"/>
    <w:rsid w:val="00777784"/>
    <w:rsid w:val="0078333B"/>
    <w:rsid w:val="007834D3"/>
    <w:rsid w:val="00783988"/>
    <w:rsid w:val="00785253"/>
    <w:rsid w:val="00785FC8"/>
    <w:rsid w:val="00786261"/>
    <w:rsid w:val="00786C9E"/>
    <w:rsid w:val="00793162"/>
    <w:rsid w:val="0079688C"/>
    <w:rsid w:val="007A074D"/>
    <w:rsid w:val="007A0E26"/>
    <w:rsid w:val="007A5300"/>
    <w:rsid w:val="007A7955"/>
    <w:rsid w:val="007B28D7"/>
    <w:rsid w:val="007B2A88"/>
    <w:rsid w:val="007C0B3D"/>
    <w:rsid w:val="007C352B"/>
    <w:rsid w:val="007C6048"/>
    <w:rsid w:val="007D2529"/>
    <w:rsid w:val="007D33B7"/>
    <w:rsid w:val="007D435B"/>
    <w:rsid w:val="007E1E2C"/>
    <w:rsid w:val="007F3067"/>
    <w:rsid w:val="007F31A1"/>
    <w:rsid w:val="007F571B"/>
    <w:rsid w:val="007F7C84"/>
    <w:rsid w:val="008040EC"/>
    <w:rsid w:val="00812FB0"/>
    <w:rsid w:val="008130AD"/>
    <w:rsid w:val="00814604"/>
    <w:rsid w:val="00816407"/>
    <w:rsid w:val="008167F3"/>
    <w:rsid w:val="00820528"/>
    <w:rsid w:val="008215FD"/>
    <w:rsid w:val="00827565"/>
    <w:rsid w:val="00827913"/>
    <w:rsid w:val="00830607"/>
    <w:rsid w:val="00832349"/>
    <w:rsid w:val="00832692"/>
    <w:rsid w:val="008352D4"/>
    <w:rsid w:val="00836A84"/>
    <w:rsid w:val="008373BA"/>
    <w:rsid w:val="00841DE5"/>
    <w:rsid w:val="00845D9B"/>
    <w:rsid w:val="008461F0"/>
    <w:rsid w:val="008471E9"/>
    <w:rsid w:val="00855009"/>
    <w:rsid w:val="00855EE1"/>
    <w:rsid w:val="008570BA"/>
    <w:rsid w:val="0086342C"/>
    <w:rsid w:val="00863953"/>
    <w:rsid w:val="00864A3A"/>
    <w:rsid w:val="00867232"/>
    <w:rsid w:val="008721D9"/>
    <w:rsid w:val="00874051"/>
    <w:rsid w:val="00877D49"/>
    <w:rsid w:val="00882C68"/>
    <w:rsid w:val="00885655"/>
    <w:rsid w:val="00890C00"/>
    <w:rsid w:val="00894730"/>
    <w:rsid w:val="00894748"/>
    <w:rsid w:val="008A294C"/>
    <w:rsid w:val="008A7738"/>
    <w:rsid w:val="008B0A7E"/>
    <w:rsid w:val="008B2B53"/>
    <w:rsid w:val="008B2B83"/>
    <w:rsid w:val="008B4B46"/>
    <w:rsid w:val="008B5B39"/>
    <w:rsid w:val="008C1108"/>
    <w:rsid w:val="008C1C44"/>
    <w:rsid w:val="008C3519"/>
    <w:rsid w:val="008C7131"/>
    <w:rsid w:val="008D1D1C"/>
    <w:rsid w:val="008D44D9"/>
    <w:rsid w:val="008D6C0F"/>
    <w:rsid w:val="008E4646"/>
    <w:rsid w:val="008E68FB"/>
    <w:rsid w:val="008F1218"/>
    <w:rsid w:val="008F1631"/>
    <w:rsid w:val="008F24C0"/>
    <w:rsid w:val="008F2697"/>
    <w:rsid w:val="008F28B5"/>
    <w:rsid w:val="008F30B5"/>
    <w:rsid w:val="00900C24"/>
    <w:rsid w:val="0090596C"/>
    <w:rsid w:val="00906466"/>
    <w:rsid w:val="0091029A"/>
    <w:rsid w:val="00910FB0"/>
    <w:rsid w:val="00913B8B"/>
    <w:rsid w:val="00913FDA"/>
    <w:rsid w:val="009145D6"/>
    <w:rsid w:val="00915E27"/>
    <w:rsid w:val="00917D58"/>
    <w:rsid w:val="0092052B"/>
    <w:rsid w:val="00920893"/>
    <w:rsid w:val="00933DB7"/>
    <w:rsid w:val="009363CC"/>
    <w:rsid w:val="00941CF9"/>
    <w:rsid w:val="00945B9A"/>
    <w:rsid w:val="00946B82"/>
    <w:rsid w:val="00947233"/>
    <w:rsid w:val="00953545"/>
    <w:rsid w:val="00953E04"/>
    <w:rsid w:val="00966D40"/>
    <w:rsid w:val="00967730"/>
    <w:rsid w:val="00971202"/>
    <w:rsid w:val="0097689D"/>
    <w:rsid w:val="009770F3"/>
    <w:rsid w:val="00977251"/>
    <w:rsid w:val="0098244C"/>
    <w:rsid w:val="00982E3E"/>
    <w:rsid w:val="00986BE1"/>
    <w:rsid w:val="009912F2"/>
    <w:rsid w:val="00993C3C"/>
    <w:rsid w:val="009A42F3"/>
    <w:rsid w:val="009A438E"/>
    <w:rsid w:val="009B053B"/>
    <w:rsid w:val="009B50B0"/>
    <w:rsid w:val="009B6390"/>
    <w:rsid w:val="009C00AF"/>
    <w:rsid w:val="009C507C"/>
    <w:rsid w:val="009C560A"/>
    <w:rsid w:val="009D0E30"/>
    <w:rsid w:val="009F56E3"/>
    <w:rsid w:val="009F5C86"/>
    <w:rsid w:val="009F6907"/>
    <w:rsid w:val="009F694A"/>
    <w:rsid w:val="00A04EAD"/>
    <w:rsid w:val="00A15107"/>
    <w:rsid w:val="00A267A1"/>
    <w:rsid w:val="00A3062D"/>
    <w:rsid w:val="00A412F2"/>
    <w:rsid w:val="00A441E7"/>
    <w:rsid w:val="00A44863"/>
    <w:rsid w:val="00A47AD3"/>
    <w:rsid w:val="00A47D86"/>
    <w:rsid w:val="00A51EAB"/>
    <w:rsid w:val="00A52AA4"/>
    <w:rsid w:val="00A538BC"/>
    <w:rsid w:val="00A559A1"/>
    <w:rsid w:val="00A56139"/>
    <w:rsid w:val="00A577BF"/>
    <w:rsid w:val="00A6223F"/>
    <w:rsid w:val="00A631AC"/>
    <w:rsid w:val="00A65C4B"/>
    <w:rsid w:val="00A73B1E"/>
    <w:rsid w:val="00A7452D"/>
    <w:rsid w:val="00A8178B"/>
    <w:rsid w:val="00A86021"/>
    <w:rsid w:val="00A91646"/>
    <w:rsid w:val="00A948DC"/>
    <w:rsid w:val="00A956FA"/>
    <w:rsid w:val="00AA1857"/>
    <w:rsid w:val="00AA6F59"/>
    <w:rsid w:val="00AB2369"/>
    <w:rsid w:val="00AB3A04"/>
    <w:rsid w:val="00AB3B41"/>
    <w:rsid w:val="00AB3B9A"/>
    <w:rsid w:val="00AB48B6"/>
    <w:rsid w:val="00AB6924"/>
    <w:rsid w:val="00AC0E6D"/>
    <w:rsid w:val="00AC160F"/>
    <w:rsid w:val="00AC4369"/>
    <w:rsid w:val="00AC51EA"/>
    <w:rsid w:val="00AD0999"/>
    <w:rsid w:val="00AE2451"/>
    <w:rsid w:val="00AE26A5"/>
    <w:rsid w:val="00AE2748"/>
    <w:rsid w:val="00AE2EE2"/>
    <w:rsid w:val="00AE58B7"/>
    <w:rsid w:val="00AE5E8B"/>
    <w:rsid w:val="00AE70F9"/>
    <w:rsid w:val="00AE71F9"/>
    <w:rsid w:val="00AF177F"/>
    <w:rsid w:val="00AF1D5B"/>
    <w:rsid w:val="00AF423C"/>
    <w:rsid w:val="00AF5843"/>
    <w:rsid w:val="00AF5CDE"/>
    <w:rsid w:val="00AF5DF4"/>
    <w:rsid w:val="00AF7403"/>
    <w:rsid w:val="00B018F1"/>
    <w:rsid w:val="00B02214"/>
    <w:rsid w:val="00B0248D"/>
    <w:rsid w:val="00B02D8D"/>
    <w:rsid w:val="00B030CC"/>
    <w:rsid w:val="00B13386"/>
    <w:rsid w:val="00B13C3C"/>
    <w:rsid w:val="00B148D6"/>
    <w:rsid w:val="00B2022F"/>
    <w:rsid w:val="00B2103B"/>
    <w:rsid w:val="00B27A1C"/>
    <w:rsid w:val="00B432B6"/>
    <w:rsid w:val="00B44C2B"/>
    <w:rsid w:val="00B47E47"/>
    <w:rsid w:val="00B5039C"/>
    <w:rsid w:val="00B50E2D"/>
    <w:rsid w:val="00B5349D"/>
    <w:rsid w:val="00B54FCB"/>
    <w:rsid w:val="00B61AD8"/>
    <w:rsid w:val="00B61DAF"/>
    <w:rsid w:val="00B66BAB"/>
    <w:rsid w:val="00B70C8D"/>
    <w:rsid w:val="00B74B3F"/>
    <w:rsid w:val="00B75327"/>
    <w:rsid w:val="00B77C02"/>
    <w:rsid w:val="00B848D4"/>
    <w:rsid w:val="00B86D74"/>
    <w:rsid w:val="00B904B7"/>
    <w:rsid w:val="00B94BEA"/>
    <w:rsid w:val="00B96F0E"/>
    <w:rsid w:val="00BA04B3"/>
    <w:rsid w:val="00BA62BA"/>
    <w:rsid w:val="00BA76C2"/>
    <w:rsid w:val="00BB07FD"/>
    <w:rsid w:val="00BB0F0C"/>
    <w:rsid w:val="00BB1532"/>
    <w:rsid w:val="00BB2CBA"/>
    <w:rsid w:val="00BB3DAB"/>
    <w:rsid w:val="00BB67BC"/>
    <w:rsid w:val="00BB7797"/>
    <w:rsid w:val="00BC0914"/>
    <w:rsid w:val="00BC36F8"/>
    <w:rsid w:val="00BC52BC"/>
    <w:rsid w:val="00BD4722"/>
    <w:rsid w:val="00BE1D41"/>
    <w:rsid w:val="00BE214B"/>
    <w:rsid w:val="00BE368F"/>
    <w:rsid w:val="00BE453F"/>
    <w:rsid w:val="00BE5A70"/>
    <w:rsid w:val="00BE71C5"/>
    <w:rsid w:val="00BF2B73"/>
    <w:rsid w:val="00BF68F8"/>
    <w:rsid w:val="00C046AE"/>
    <w:rsid w:val="00C07ED4"/>
    <w:rsid w:val="00C10EE8"/>
    <w:rsid w:val="00C110D3"/>
    <w:rsid w:val="00C118B8"/>
    <w:rsid w:val="00C14284"/>
    <w:rsid w:val="00C15D60"/>
    <w:rsid w:val="00C16380"/>
    <w:rsid w:val="00C16788"/>
    <w:rsid w:val="00C16998"/>
    <w:rsid w:val="00C20ECE"/>
    <w:rsid w:val="00C21894"/>
    <w:rsid w:val="00C23926"/>
    <w:rsid w:val="00C25D09"/>
    <w:rsid w:val="00C27427"/>
    <w:rsid w:val="00C31BF0"/>
    <w:rsid w:val="00C326C7"/>
    <w:rsid w:val="00C3795D"/>
    <w:rsid w:val="00C40632"/>
    <w:rsid w:val="00C50F73"/>
    <w:rsid w:val="00C520E5"/>
    <w:rsid w:val="00C55F69"/>
    <w:rsid w:val="00C57A54"/>
    <w:rsid w:val="00C60E0B"/>
    <w:rsid w:val="00C62D52"/>
    <w:rsid w:val="00C62DCF"/>
    <w:rsid w:val="00C62E92"/>
    <w:rsid w:val="00C63CBA"/>
    <w:rsid w:val="00C65A20"/>
    <w:rsid w:val="00C67C22"/>
    <w:rsid w:val="00C70361"/>
    <w:rsid w:val="00C70EB6"/>
    <w:rsid w:val="00C730CA"/>
    <w:rsid w:val="00C76547"/>
    <w:rsid w:val="00C815A4"/>
    <w:rsid w:val="00C81A48"/>
    <w:rsid w:val="00C84ACC"/>
    <w:rsid w:val="00C90E93"/>
    <w:rsid w:val="00C913FB"/>
    <w:rsid w:val="00C942C0"/>
    <w:rsid w:val="00C95FD9"/>
    <w:rsid w:val="00CA0188"/>
    <w:rsid w:val="00CA0962"/>
    <w:rsid w:val="00CA0CE6"/>
    <w:rsid w:val="00CA6384"/>
    <w:rsid w:val="00CA7D2D"/>
    <w:rsid w:val="00CB2491"/>
    <w:rsid w:val="00CB2BCE"/>
    <w:rsid w:val="00CB7A1F"/>
    <w:rsid w:val="00CC260E"/>
    <w:rsid w:val="00CC38D7"/>
    <w:rsid w:val="00CC3A5B"/>
    <w:rsid w:val="00CC5BF8"/>
    <w:rsid w:val="00CD5FC5"/>
    <w:rsid w:val="00CD73D9"/>
    <w:rsid w:val="00CE0C0F"/>
    <w:rsid w:val="00CE0D65"/>
    <w:rsid w:val="00CE6CA4"/>
    <w:rsid w:val="00CF23F6"/>
    <w:rsid w:val="00CF3370"/>
    <w:rsid w:val="00D007E1"/>
    <w:rsid w:val="00D04199"/>
    <w:rsid w:val="00D04663"/>
    <w:rsid w:val="00D12AA3"/>
    <w:rsid w:val="00D133F8"/>
    <w:rsid w:val="00D241A9"/>
    <w:rsid w:val="00D315B5"/>
    <w:rsid w:val="00D34C27"/>
    <w:rsid w:val="00D35BE7"/>
    <w:rsid w:val="00D37E57"/>
    <w:rsid w:val="00D44CC9"/>
    <w:rsid w:val="00D45321"/>
    <w:rsid w:val="00D4764E"/>
    <w:rsid w:val="00D527FD"/>
    <w:rsid w:val="00D5562C"/>
    <w:rsid w:val="00D56678"/>
    <w:rsid w:val="00D605AB"/>
    <w:rsid w:val="00D62BF9"/>
    <w:rsid w:val="00D65471"/>
    <w:rsid w:val="00D65A4D"/>
    <w:rsid w:val="00D733BC"/>
    <w:rsid w:val="00D8163F"/>
    <w:rsid w:val="00D82359"/>
    <w:rsid w:val="00D9036C"/>
    <w:rsid w:val="00D907A9"/>
    <w:rsid w:val="00D9241A"/>
    <w:rsid w:val="00D96A3D"/>
    <w:rsid w:val="00D971B6"/>
    <w:rsid w:val="00DA04AD"/>
    <w:rsid w:val="00DA1710"/>
    <w:rsid w:val="00DA1BC1"/>
    <w:rsid w:val="00DA2173"/>
    <w:rsid w:val="00DA4902"/>
    <w:rsid w:val="00DA5AF5"/>
    <w:rsid w:val="00DA7847"/>
    <w:rsid w:val="00DB4687"/>
    <w:rsid w:val="00DC14D3"/>
    <w:rsid w:val="00DD0727"/>
    <w:rsid w:val="00DD2FD3"/>
    <w:rsid w:val="00DE3382"/>
    <w:rsid w:val="00DE7F8F"/>
    <w:rsid w:val="00DF5196"/>
    <w:rsid w:val="00DF6F1B"/>
    <w:rsid w:val="00DF75C4"/>
    <w:rsid w:val="00DF7C7D"/>
    <w:rsid w:val="00E04D03"/>
    <w:rsid w:val="00E04FBA"/>
    <w:rsid w:val="00E06034"/>
    <w:rsid w:val="00E11EAF"/>
    <w:rsid w:val="00E162C8"/>
    <w:rsid w:val="00E17279"/>
    <w:rsid w:val="00E22017"/>
    <w:rsid w:val="00E23F44"/>
    <w:rsid w:val="00E26418"/>
    <w:rsid w:val="00E27FF5"/>
    <w:rsid w:val="00E309F1"/>
    <w:rsid w:val="00E316FB"/>
    <w:rsid w:val="00E3399F"/>
    <w:rsid w:val="00E34837"/>
    <w:rsid w:val="00E34F27"/>
    <w:rsid w:val="00E407CE"/>
    <w:rsid w:val="00E41775"/>
    <w:rsid w:val="00E43701"/>
    <w:rsid w:val="00E46152"/>
    <w:rsid w:val="00E47279"/>
    <w:rsid w:val="00E51A1E"/>
    <w:rsid w:val="00E606CD"/>
    <w:rsid w:val="00E62FAE"/>
    <w:rsid w:val="00E638D8"/>
    <w:rsid w:val="00E71F57"/>
    <w:rsid w:val="00E72D74"/>
    <w:rsid w:val="00E73F2D"/>
    <w:rsid w:val="00E74EBD"/>
    <w:rsid w:val="00E7573C"/>
    <w:rsid w:val="00E773AB"/>
    <w:rsid w:val="00E817E6"/>
    <w:rsid w:val="00E83E9F"/>
    <w:rsid w:val="00E83F9F"/>
    <w:rsid w:val="00E936D5"/>
    <w:rsid w:val="00E94A1A"/>
    <w:rsid w:val="00E94CA2"/>
    <w:rsid w:val="00E95830"/>
    <w:rsid w:val="00E95AA8"/>
    <w:rsid w:val="00E97403"/>
    <w:rsid w:val="00EB1345"/>
    <w:rsid w:val="00EB304D"/>
    <w:rsid w:val="00EB31BD"/>
    <w:rsid w:val="00EB3653"/>
    <w:rsid w:val="00EB437A"/>
    <w:rsid w:val="00EB5506"/>
    <w:rsid w:val="00EB617F"/>
    <w:rsid w:val="00EB6FF2"/>
    <w:rsid w:val="00EC039F"/>
    <w:rsid w:val="00EC2F0C"/>
    <w:rsid w:val="00EC3543"/>
    <w:rsid w:val="00EC779F"/>
    <w:rsid w:val="00ED174E"/>
    <w:rsid w:val="00ED44E8"/>
    <w:rsid w:val="00ED50B2"/>
    <w:rsid w:val="00ED5B5C"/>
    <w:rsid w:val="00ED5C84"/>
    <w:rsid w:val="00ED787D"/>
    <w:rsid w:val="00EE0E98"/>
    <w:rsid w:val="00EE4BF9"/>
    <w:rsid w:val="00EE5C07"/>
    <w:rsid w:val="00EE6266"/>
    <w:rsid w:val="00EE7158"/>
    <w:rsid w:val="00EF6D0D"/>
    <w:rsid w:val="00EF6E1C"/>
    <w:rsid w:val="00EF7A52"/>
    <w:rsid w:val="00F024B7"/>
    <w:rsid w:val="00F076C9"/>
    <w:rsid w:val="00F1146F"/>
    <w:rsid w:val="00F1147C"/>
    <w:rsid w:val="00F16764"/>
    <w:rsid w:val="00F17173"/>
    <w:rsid w:val="00F2085C"/>
    <w:rsid w:val="00F21650"/>
    <w:rsid w:val="00F2185B"/>
    <w:rsid w:val="00F22FF7"/>
    <w:rsid w:val="00F24EF6"/>
    <w:rsid w:val="00F2731B"/>
    <w:rsid w:val="00F27CAF"/>
    <w:rsid w:val="00F27CF7"/>
    <w:rsid w:val="00F30F49"/>
    <w:rsid w:val="00F3123F"/>
    <w:rsid w:val="00F3129B"/>
    <w:rsid w:val="00F418BE"/>
    <w:rsid w:val="00F452CA"/>
    <w:rsid w:val="00F547B0"/>
    <w:rsid w:val="00F61B2E"/>
    <w:rsid w:val="00F64CB4"/>
    <w:rsid w:val="00F64CF8"/>
    <w:rsid w:val="00F64FD9"/>
    <w:rsid w:val="00F65D83"/>
    <w:rsid w:val="00F71076"/>
    <w:rsid w:val="00F716A6"/>
    <w:rsid w:val="00F73A30"/>
    <w:rsid w:val="00F75DD4"/>
    <w:rsid w:val="00F76BC3"/>
    <w:rsid w:val="00F80F2B"/>
    <w:rsid w:val="00F85FB5"/>
    <w:rsid w:val="00F87A64"/>
    <w:rsid w:val="00F90FE3"/>
    <w:rsid w:val="00F978F2"/>
    <w:rsid w:val="00FA7920"/>
    <w:rsid w:val="00FB5F19"/>
    <w:rsid w:val="00FB64F7"/>
    <w:rsid w:val="00FE1F52"/>
    <w:rsid w:val="00FE1F89"/>
    <w:rsid w:val="00FE232C"/>
    <w:rsid w:val="00FE3734"/>
    <w:rsid w:val="00FE4613"/>
    <w:rsid w:val="00FE6C2A"/>
    <w:rsid w:val="00FF294A"/>
    <w:rsid w:val="00FF3848"/>
    <w:rsid w:val="00FF7782"/>
    <w:rsid w:val="00FF79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D40"/>
    <w:pPr>
      <w:spacing w:after="0" w:line="240" w:lineRule="auto"/>
    </w:pPr>
    <w:rPr>
      <w:rFonts w:ascii="Times New Roman" w:eastAsia="Times New Roman" w:hAnsi="Times New Roman" w:cs="Times New Roman"/>
      <w:noProof/>
      <w:sz w:val="24"/>
      <w:szCs w:val="24"/>
    </w:rPr>
  </w:style>
  <w:style w:type="paragraph" w:styleId="Heading5">
    <w:name w:val="heading 5"/>
    <w:basedOn w:val="Normal"/>
    <w:link w:val="Heading5Char"/>
    <w:uiPriority w:val="9"/>
    <w:qFormat/>
    <w:rsid w:val="00966D40"/>
    <w:pPr>
      <w:spacing w:before="100" w:beforeAutospacing="1" w:after="100" w:afterAutospacing="1"/>
      <w:outlineLvl w:val="4"/>
    </w:pPr>
    <w:rPr>
      <w:rFonts w:eastAsiaTheme="minorEastAsia"/>
      <w:b/>
      <w:bCs/>
      <w:noProof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966D40"/>
    <w:rPr>
      <w:rFonts w:ascii="Times New Roman" w:eastAsiaTheme="minorEastAsia" w:hAnsi="Times New Roman" w:cs="Times New Roman"/>
      <w:b/>
      <w:bCs/>
      <w:sz w:val="20"/>
      <w:szCs w:val="20"/>
    </w:rPr>
  </w:style>
  <w:style w:type="table" w:styleId="TableGrid">
    <w:name w:val="Table Grid"/>
    <w:basedOn w:val="TableNormal"/>
    <w:rsid w:val="00966D4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966D40"/>
    <w:pPr>
      <w:tabs>
        <w:tab w:val="center" w:pos="4320"/>
        <w:tab w:val="right" w:pos="8640"/>
      </w:tabs>
    </w:pPr>
  </w:style>
  <w:style w:type="character" w:customStyle="1" w:styleId="FooterChar">
    <w:name w:val="Footer Char"/>
    <w:basedOn w:val="DefaultParagraphFont"/>
    <w:link w:val="Footer"/>
    <w:rsid w:val="00966D40"/>
    <w:rPr>
      <w:rFonts w:ascii="Times New Roman" w:eastAsia="Times New Roman" w:hAnsi="Times New Roman" w:cs="Times New Roman"/>
      <w:noProof/>
      <w:sz w:val="24"/>
      <w:szCs w:val="24"/>
    </w:rPr>
  </w:style>
  <w:style w:type="character" w:styleId="PageNumber">
    <w:name w:val="page number"/>
    <w:basedOn w:val="DefaultParagraphFont"/>
    <w:rsid w:val="00966D40"/>
  </w:style>
  <w:style w:type="paragraph" w:styleId="Header">
    <w:name w:val="header"/>
    <w:basedOn w:val="Normal"/>
    <w:link w:val="HeaderChar"/>
    <w:rsid w:val="00966D40"/>
    <w:pPr>
      <w:tabs>
        <w:tab w:val="center" w:pos="4320"/>
        <w:tab w:val="right" w:pos="8640"/>
      </w:tabs>
    </w:pPr>
  </w:style>
  <w:style w:type="character" w:customStyle="1" w:styleId="HeaderChar">
    <w:name w:val="Header Char"/>
    <w:basedOn w:val="DefaultParagraphFont"/>
    <w:link w:val="Header"/>
    <w:rsid w:val="00966D40"/>
    <w:rPr>
      <w:rFonts w:ascii="Times New Roman" w:eastAsia="Times New Roman" w:hAnsi="Times New Roman" w:cs="Times New Roman"/>
      <w:noProof/>
      <w:sz w:val="24"/>
      <w:szCs w:val="24"/>
    </w:rPr>
  </w:style>
  <w:style w:type="paragraph" w:styleId="NormalWeb">
    <w:name w:val="Normal (Web)"/>
    <w:basedOn w:val="Normal"/>
    <w:uiPriority w:val="99"/>
    <w:unhideWhenUsed/>
    <w:rsid w:val="00966D40"/>
    <w:pPr>
      <w:spacing w:before="100" w:beforeAutospacing="1" w:after="100" w:afterAutospacing="1"/>
    </w:pPr>
    <w:rPr>
      <w:rFonts w:eastAsiaTheme="minorEastAsia"/>
      <w:noProof w:val="0"/>
    </w:rPr>
  </w:style>
  <w:style w:type="paragraph" w:styleId="BalloonText">
    <w:name w:val="Balloon Text"/>
    <w:basedOn w:val="Normal"/>
    <w:link w:val="BalloonTextChar"/>
    <w:uiPriority w:val="99"/>
    <w:semiHidden/>
    <w:unhideWhenUsed/>
    <w:rsid w:val="00FE1F89"/>
    <w:rPr>
      <w:rFonts w:ascii="Tahoma" w:hAnsi="Tahoma" w:cs="Tahoma"/>
      <w:sz w:val="16"/>
      <w:szCs w:val="16"/>
    </w:rPr>
  </w:style>
  <w:style w:type="character" w:customStyle="1" w:styleId="BalloonTextChar">
    <w:name w:val="Balloon Text Char"/>
    <w:basedOn w:val="DefaultParagraphFont"/>
    <w:link w:val="BalloonText"/>
    <w:uiPriority w:val="99"/>
    <w:semiHidden/>
    <w:rsid w:val="00FE1F89"/>
    <w:rPr>
      <w:rFonts w:ascii="Tahoma" w:eastAsia="Times New Roman" w:hAnsi="Tahoma" w:cs="Tahoma"/>
      <w:noProof/>
      <w:sz w:val="16"/>
      <w:szCs w:val="16"/>
    </w:rPr>
  </w:style>
  <w:style w:type="paragraph" w:styleId="ListParagraph">
    <w:name w:val="List Paragraph"/>
    <w:basedOn w:val="Normal"/>
    <w:uiPriority w:val="34"/>
    <w:qFormat/>
    <w:rsid w:val="006A6B0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D40"/>
    <w:pPr>
      <w:spacing w:after="0" w:line="240" w:lineRule="auto"/>
    </w:pPr>
    <w:rPr>
      <w:rFonts w:ascii="Times New Roman" w:eastAsia="Times New Roman" w:hAnsi="Times New Roman" w:cs="Times New Roman"/>
      <w:noProof/>
      <w:sz w:val="24"/>
      <w:szCs w:val="24"/>
    </w:rPr>
  </w:style>
  <w:style w:type="paragraph" w:styleId="Heading5">
    <w:name w:val="heading 5"/>
    <w:basedOn w:val="Normal"/>
    <w:link w:val="Heading5Char"/>
    <w:uiPriority w:val="9"/>
    <w:qFormat/>
    <w:rsid w:val="00966D40"/>
    <w:pPr>
      <w:spacing w:before="100" w:beforeAutospacing="1" w:after="100" w:afterAutospacing="1"/>
      <w:outlineLvl w:val="4"/>
    </w:pPr>
    <w:rPr>
      <w:rFonts w:eastAsiaTheme="minorEastAsia"/>
      <w:b/>
      <w:bCs/>
      <w:noProof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966D40"/>
    <w:rPr>
      <w:rFonts w:ascii="Times New Roman" w:eastAsiaTheme="minorEastAsia" w:hAnsi="Times New Roman" w:cs="Times New Roman"/>
      <w:b/>
      <w:bCs/>
      <w:sz w:val="20"/>
      <w:szCs w:val="20"/>
    </w:rPr>
  </w:style>
  <w:style w:type="table" w:styleId="TableGrid">
    <w:name w:val="Table Grid"/>
    <w:basedOn w:val="TableNormal"/>
    <w:rsid w:val="00966D4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66D40"/>
    <w:pPr>
      <w:tabs>
        <w:tab w:val="center" w:pos="4320"/>
        <w:tab w:val="right" w:pos="8640"/>
      </w:tabs>
    </w:pPr>
  </w:style>
  <w:style w:type="character" w:customStyle="1" w:styleId="FooterChar">
    <w:name w:val="Footer Char"/>
    <w:basedOn w:val="DefaultParagraphFont"/>
    <w:link w:val="Footer"/>
    <w:rsid w:val="00966D40"/>
    <w:rPr>
      <w:rFonts w:ascii="Times New Roman" w:eastAsia="Times New Roman" w:hAnsi="Times New Roman" w:cs="Times New Roman"/>
      <w:noProof/>
      <w:sz w:val="24"/>
      <w:szCs w:val="24"/>
    </w:rPr>
  </w:style>
  <w:style w:type="character" w:styleId="PageNumber">
    <w:name w:val="page number"/>
    <w:basedOn w:val="DefaultParagraphFont"/>
    <w:rsid w:val="00966D40"/>
  </w:style>
  <w:style w:type="paragraph" w:styleId="Header">
    <w:name w:val="header"/>
    <w:basedOn w:val="Normal"/>
    <w:link w:val="HeaderChar"/>
    <w:rsid w:val="00966D40"/>
    <w:pPr>
      <w:tabs>
        <w:tab w:val="center" w:pos="4320"/>
        <w:tab w:val="right" w:pos="8640"/>
      </w:tabs>
    </w:pPr>
  </w:style>
  <w:style w:type="character" w:customStyle="1" w:styleId="HeaderChar">
    <w:name w:val="Header Char"/>
    <w:basedOn w:val="DefaultParagraphFont"/>
    <w:link w:val="Header"/>
    <w:rsid w:val="00966D40"/>
    <w:rPr>
      <w:rFonts w:ascii="Times New Roman" w:eastAsia="Times New Roman" w:hAnsi="Times New Roman" w:cs="Times New Roman"/>
      <w:noProof/>
      <w:sz w:val="24"/>
      <w:szCs w:val="24"/>
    </w:rPr>
  </w:style>
  <w:style w:type="paragraph" w:styleId="NormalWeb">
    <w:name w:val="Normal (Web)"/>
    <w:basedOn w:val="Normal"/>
    <w:uiPriority w:val="99"/>
    <w:unhideWhenUsed/>
    <w:rsid w:val="00966D40"/>
    <w:pPr>
      <w:spacing w:before="100" w:beforeAutospacing="1" w:after="100" w:afterAutospacing="1"/>
    </w:pPr>
    <w:rPr>
      <w:rFonts w:eastAsiaTheme="minorEastAsia"/>
      <w:noProof w:val="0"/>
    </w:rPr>
  </w:style>
  <w:style w:type="paragraph" w:styleId="BalloonText">
    <w:name w:val="Balloon Text"/>
    <w:basedOn w:val="Normal"/>
    <w:link w:val="BalloonTextChar"/>
    <w:uiPriority w:val="99"/>
    <w:semiHidden/>
    <w:unhideWhenUsed/>
    <w:rsid w:val="00FE1F89"/>
    <w:rPr>
      <w:rFonts w:ascii="Tahoma" w:hAnsi="Tahoma" w:cs="Tahoma"/>
      <w:sz w:val="16"/>
      <w:szCs w:val="16"/>
    </w:rPr>
  </w:style>
  <w:style w:type="character" w:customStyle="1" w:styleId="BalloonTextChar">
    <w:name w:val="Balloon Text Char"/>
    <w:basedOn w:val="DefaultParagraphFont"/>
    <w:link w:val="BalloonText"/>
    <w:uiPriority w:val="99"/>
    <w:semiHidden/>
    <w:rsid w:val="00FE1F89"/>
    <w:rPr>
      <w:rFonts w:ascii="Tahoma" w:eastAsia="Times New Roman" w:hAnsi="Tahoma" w:cs="Tahoma"/>
      <w:noProof/>
      <w:sz w:val="16"/>
      <w:szCs w:val="16"/>
    </w:rPr>
  </w:style>
  <w:style w:type="paragraph" w:styleId="ListParagraph">
    <w:name w:val="List Paragraph"/>
    <w:basedOn w:val="Normal"/>
    <w:uiPriority w:val="34"/>
    <w:qFormat/>
    <w:rsid w:val="006A6B0A"/>
    <w:pPr>
      <w:ind w:left="720"/>
      <w:contextualSpacing/>
    </w:pPr>
  </w:style>
</w:styles>
</file>

<file path=word/webSettings.xml><?xml version="1.0" encoding="utf-8"?>
<w:webSettings xmlns:r="http://schemas.openxmlformats.org/officeDocument/2006/relationships" xmlns:w="http://schemas.openxmlformats.org/wordprocessingml/2006/main">
  <w:divs>
    <w:div w:id="1699813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TotalTime>
  <Pages>2</Pages>
  <Words>791</Words>
  <Characters>4511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The World Bank Group</Company>
  <LinksUpToDate>false</LinksUpToDate>
  <CharactersWithSpaces>5292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wb97842</dc:creator>
  <cp:lastModifiedBy>Karine Galustyan</cp:lastModifiedBy>
  <cp:revision>6</cp:revision>
  <cp:lastPrinted>2012-02-09T14:31:00Z</cp:lastPrinted>
  <dcterms:created xsi:type="dcterms:W3CDTF">2016-04-07T06:28:00Z</dcterms:created>
  <dcterms:modified xsi:type="dcterms:W3CDTF">2016-04-08T12:39:00Z</dcterms:modified>
</cp:coreProperties>
</file>