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865EE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346F3F">
        <w:rPr>
          <w:rFonts w:ascii="Arial LatArm" w:hAnsi="Arial LatArm" w:cs="Sylfaen"/>
          <w:b/>
          <w:szCs w:val="24"/>
          <w:lang w:val="es-ES"/>
        </w:rPr>
        <w:t xml:space="preserve">43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865EE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346F3F">
        <w:rPr>
          <w:rFonts w:ascii="Arial LatArm" w:hAnsi="Arial LatArm" w:cs="Sylfaen"/>
          <w:b/>
          <w:szCs w:val="24"/>
          <w:lang w:val="es-ES"/>
        </w:rPr>
        <w:t xml:space="preserve">43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64"/>
        <w:gridCol w:w="6"/>
        <w:gridCol w:w="120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37"/>
        <w:gridCol w:w="572"/>
        <w:gridCol w:w="210"/>
        <w:gridCol w:w="110"/>
        <w:gridCol w:w="257"/>
        <w:gridCol w:w="54"/>
        <w:gridCol w:w="173"/>
        <w:gridCol w:w="210"/>
        <w:gridCol w:w="34"/>
        <w:gridCol w:w="429"/>
        <w:gridCol w:w="179"/>
        <w:gridCol w:w="202"/>
        <w:gridCol w:w="34"/>
        <w:gridCol w:w="201"/>
        <w:gridCol w:w="104"/>
        <w:gridCol w:w="241"/>
        <w:gridCol w:w="206"/>
        <w:gridCol w:w="24"/>
        <w:gridCol w:w="127"/>
        <w:gridCol w:w="19"/>
        <w:gridCol w:w="120"/>
        <w:gridCol w:w="627"/>
        <w:gridCol w:w="226"/>
        <w:gridCol w:w="51"/>
        <w:gridCol w:w="114"/>
        <w:gridCol w:w="168"/>
        <w:gridCol w:w="355"/>
        <w:gridCol w:w="191"/>
        <w:gridCol w:w="59"/>
        <w:gridCol w:w="13"/>
        <w:gridCol w:w="210"/>
        <w:gridCol w:w="96"/>
        <w:gridCol w:w="54"/>
        <w:gridCol w:w="523"/>
        <w:gridCol w:w="84"/>
        <w:gridCol w:w="23"/>
        <w:gridCol w:w="451"/>
        <w:gridCol w:w="80"/>
        <w:gridCol w:w="19"/>
        <w:gridCol w:w="1160"/>
        <w:gridCol w:w="93"/>
        <w:gridCol w:w="51"/>
        <w:gridCol w:w="178"/>
      </w:tblGrid>
      <w:tr w:rsidR="00A0696B" w:rsidRPr="008413A4" w:rsidTr="00346F3F">
        <w:trPr>
          <w:gridAfter w:val="3"/>
          <w:wAfter w:w="322" w:type="dxa"/>
          <w:trHeight w:val="146"/>
        </w:trPr>
        <w:tc>
          <w:tcPr>
            <w:tcW w:w="8640" w:type="dxa"/>
            <w:gridSpan w:val="5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34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346F3F">
        <w:trPr>
          <w:gridAfter w:val="3"/>
          <w:wAfter w:w="322" w:type="dxa"/>
          <w:trHeight w:val="110"/>
        </w:trPr>
        <w:tc>
          <w:tcPr>
            <w:tcW w:w="48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340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346F3F">
        <w:trPr>
          <w:gridAfter w:val="3"/>
          <w:wAfter w:w="322" w:type="dxa"/>
          <w:trHeight w:val="175"/>
        </w:trPr>
        <w:tc>
          <w:tcPr>
            <w:tcW w:w="48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40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346F3F">
        <w:trPr>
          <w:gridAfter w:val="3"/>
          <w:wAfter w:w="322" w:type="dxa"/>
          <w:trHeight w:val="2041"/>
        </w:trPr>
        <w:tc>
          <w:tcPr>
            <w:tcW w:w="4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40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346F3F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B84A67" w:rsidRDefault="00346F3F" w:rsidP="00C05697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Երևան-Վիեննա-Բելգրադ-վիեննա-Երևան</w:t>
            </w:r>
            <w:proofErr w:type="spellEnd"/>
            <w:r>
              <w:rPr>
                <w:rFonts w:ascii="Sylfaen" w:hAnsi="Sylfaen"/>
                <w:sz w:val="20"/>
              </w:rPr>
              <w:t xml:space="preserve">       /</w:t>
            </w:r>
            <w:proofErr w:type="spellStart"/>
            <w:r>
              <w:rPr>
                <w:rFonts w:ascii="Sylfaen" w:hAnsi="Sylfaen"/>
                <w:sz w:val="20"/>
              </w:rPr>
              <w:t>ուղեբեռով</w:t>
            </w:r>
            <w:proofErr w:type="spellEnd"/>
            <w:r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3F" w:rsidRPr="00346F3F" w:rsidRDefault="00346F3F" w:rsidP="00346F3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21.08.16 04:25 OS 642</w:t>
            </w:r>
          </w:p>
          <w:p w:rsidR="00346F3F" w:rsidRPr="00346F3F" w:rsidRDefault="00346F3F" w:rsidP="00346F3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21.08.16 13:05 OS 773</w:t>
            </w:r>
          </w:p>
          <w:p w:rsidR="00346F3F" w:rsidRPr="00346F3F" w:rsidRDefault="00346F3F" w:rsidP="00346F3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28.08.16 18:20 OS 736</w:t>
            </w:r>
          </w:p>
          <w:p w:rsidR="00C631FC" w:rsidRDefault="00346F3F" w:rsidP="00346F3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28.08.16 22:20 OS 641</w:t>
            </w:r>
          </w:p>
        </w:tc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F3F" w:rsidRPr="00346F3F" w:rsidRDefault="00346F3F" w:rsidP="00346F3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21.08.16 04:25 OS 642</w:t>
            </w:r>
          </w:p>
          <w:p w:rsidR="00346F3F" w:rsidRPr="00346F3F" w:rsidRDefault="00346F3F" w:rsidP="00346F3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21.08.16 13:05 OS 773</w:t>
            </w:r>
          </w:p>
          <w:p w:rsidR="00346F3F" w:rsidRPr="00346F3F" w:rsidRDefault="00346F3F" w:rsidP="00346F3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28.08.16 18:20 OS 736</w:t>
            </w:r>
          </w:p>
          <w:p w:rsidR="00C631FC" w:rsidRDefault="00346F3F" w:rsidP="00346F3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28.08.16 22:20 OS 641</w:t>
            </w:r>
          </w:p>
        </w:tc>
      </w:tr>
      <w:tr w:rsidR="00557008" w:rsidRPr="0082641C" w:rsidTr="00346F3F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Pr="004019AC" w:rsidRDefault="00346F3F" w:rsidP="004019AC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96234F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96234F">
              <w:rPr>
                <w:rFonts w:ascii="Arial Unicode" w:hAnsi="Arial Unicode"/>
                <w:sz w:val="20"/>
              </w:rPr>
              <w:t xml:space="preserve">` </w:t>
            </w:r>
            <w:proofErr w:type="spellStart"/>
            <w:r w:rsidRPr="0096234F">
              <w:rPr>
                <w:rFonts w:ascii="Arial Unicode" w:hAnsi="Arial Unicode"/>
                <w:sz w:val="20"/>
              </w:rPr>
              <w:t>Երևան-Մոսկվա-Մինսկ-Մոսկվա-Երևան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Pr="0052643E" w:rsidRDefault="00557008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52643E" w:rsidRDefault="00557008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82641C" w:rsidRDefault="00557008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3F" w:rsidRPr="00346F3F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13.04.16 07:55 SU 1867</w:t>
            </w:r>
          </w:p>
          <w:p w:rsidR="00346F3F" w:rsidRPr="00346F3F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13.04.16 13:50 SU 1840</w:t>
            </w:r>
          </w:p>
          <w:p w:rsidR="00346F3F" w:rsidRPr="00346F3F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16.04.16 20:35 SU 1833</w:t>
            </w:r>
          </w:p>
          <w:p w:rsidR="00557008" w:rsidRPr="004019AC" w:rsidRDefault="00346F3F" w:rsidP="00346F3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16.04.16 00:55 SU 1864</w:t>
            </w:r>
          </w:p>
        </w:tc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F3F" w:rsidRPr="00346F3F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13.04.16 07:55 SU 1867</w:t>
            </w:r>
          </w:p>
          <w:p w:rsidR="00346F3F" w:rsidRPr="00346F3F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13.04.16 13:50 SU 1840</w:t>
            </w:r>
          </w:p>
          <w:p w:rsidR="00346F3F" w:rsidRPr="00346F3F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16.04.16 20:35 SU 1833</w:t>
            </w:r>
          </w:p>
          <w:p w:rsidR="00346F3F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16.04.16 00:55 SU 1864</w:t>
            </w:r>
          </w:p>
          <w:p w:rsidR="00557008" w:rsidRPr="004019AC" w:rsidRDefault="00557008" w:rsidP="00346F3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</w:p>
        </w:tc>
      </w:tr>
      <w:tr w:rsidR="00B865EE" w:rsidRPr="0082641C" w:rsidTr="00346F3F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3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9D5443" w:rsidRDefault="00346F3F" w:rsidP="004019AC">
            <w:pPr>
              <w:jc w:val="center"/>
              <w:rPr>
                <w:rFonts w:ascii="Arial Unicode" w:hAnsi="Arial Unicode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Երևան-Ռոստով-Երևան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1C76C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52643E" w:rsidRDefault="00B865EE" w:rsidP="001C76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Pr="0052643E" w:rsidRDefault="00B865EE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Pr="0082641C" w:rsidRDefault="00B865EE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F3F" w:rsidRPr="00346F3F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12.04.16 13:30  U6 2632</w:t>
            </w:r>
          </w:p>
          <w:p w:rsidR="00B865EE" w:rsidRPr="00557008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15.04.16 14:25 U6 2631</w:t>
            </w:r>
          </w:p>
        </w:tc>
        <w:tc>
          <w:tcPr>
            <w:tcW w:w="234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F3F" w:rsidRPr="00346F3F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12.04.16 13:30  U6 2632</w:t>
            </w:r>
          </w:p>
          <w:p w:rsidR="00B865EE" w:rsidRPr="00557008" w:rsidRDefault="00346F3F" w:rsidP="00346F3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46F3F">
              <w:rPr>
                <w:rFonts w:ascii="Arial Unicode" w:hAnsi="Arial Unicode" w:cs="Sylfaen"/>
                <w:sz w:val="20"/>
                <w:lang w:eastAsia="en-US"/>
              </w:rPr>
              <w:t>15.04.16 14:25 U6 2631</w:t>
            </w:r>
          </w:p>
        </w:tc>
      </w:tr>
      <w:tr w:rsidR="00A97B3A" w:rsidRPr="00BC7FAB" w:rsidTr="00346F3F">
        <w:trPr>
          <w:gridAfter w:val="3"/>
          <w:wAfter w:w="322" w:type="dxa"/>
          <w:trHeight w:val="169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346F3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</w:t>
            </w:r>
            <w:r w:rsidR="008537CD">
              <w:rPr>
                <w:rFonts w:ascii="Arial Armenian" w:hAnsi="Arial Armenian"/>
              </w:rPr>
              <w:t>4</w:t>
            </w:r>
            <w:r w:rsidR="00B34FEE">
              <w:rPr>
                <w:rFonts w:ascii="Arial Armenian" w:hAnsi="Arial Armenian"/>
              </w:rPr>
              <w:t>.03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5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="00E66A05"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E66A05" w:rsidRPr="00E0552A" w:rsidRDefault="00B34FEE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346F3F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320.000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346F3F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320.000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865EE" w:rsidRPr="00E66A05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346F3F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268.000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346F3F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268.000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277FD" w:rsidRPr="00E66A05" w:rsidRDefault="005277F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346F3F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259.000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346F3F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259.000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="00346F3F">
              <w:rPr>
                <w:rFonts w:ascii="Sylfaen" w:hAnsi="Sylfaen" w:cs="Sylfaen"/>
                <w:sz w:val="18"/>
                <w:szCs w:val="18"/>
              </w:rPr>
              <w:t>Տրինիդատ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346F3F" w:rsidRDefault="00346F3F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Զաքյան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6/36</w:t>
            </w:r>
          </w:p>
          <w:p w:rsidR="005277FD" w:rsidRPr="00E66A05" w:rsidRDefault="00346F3F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055282828</w:t>
            </w:r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6736FE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273.000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6736FE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273.000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346F3F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557008" w:rsidP="004019AC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lastRenderedPageBreak/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346F3F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346F3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346F3F" w:rsidRPr="00E0552A" w:rsidRDefault="00346F3F" w:rsidP="00346F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46F3F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346F3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158.000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158.000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46F3F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346F3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46F3F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346F3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Տրինիդատ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Զաքյան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6/36</w:t>
            </w:r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055282828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164.000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164.000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346F3F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B865EE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3</w:t>
            </w:r>
          </w:p>
        </w:tc>
      </w:tr>
      <w:tr w:rsidR="00346F3F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346F3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346F3F" w:rsidRPr="00E0552A" w:rsidRDefault="00346F3F" w:rsidP="00346F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339.000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339.000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46F3F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346F3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288.000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288.000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46F3F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346F3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285.000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285.000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46F3F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B865EE" w:rsidRDefault="00346F3F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  <w:lang w:val="pt-BR"/>
              </w:rPr>
            </w:pPr>
            <w:r>
              <w:rPr>
                <w:rFonts w:ascii="Sylfaen" w:hAnsi="Sylfaen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Տրինիդատ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Զաքյան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6/36</w:t>
            </w:r>
          </w:p>
          <w:p w:rsidR="00346F3F" w:rsidRPr="00E66A05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055282828</w:t>
            </w:r>
          </w:p>
          <w:p w:rsidR="00346F3F" w:rsidRDefault="00346F3F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334.500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Pr="00120B59" w:rsidRDefault="00346F3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F3F" w:rsidRDefault="006736F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334.500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F3F" w:rsidRDefault="00346F3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8537CD" w:rsidTr="00346F3F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7CD" w:rsidRDefault="008537CD" w:rsidP="001C76CC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C76CC" w:rsidTr="00346F3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76CC" w:rsidRPr="00E0552A" w:rsidRDefault="001C76CC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C76CC" w:rsidRPr="00E0552A" w:rsidRDefault="001C76CC" w:rsidP="001C76C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Pr="00120B59" w:rsidRDefault="001C76CC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6CC" w:rsidRDefault="001C76CC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C76CC" w:rsidRDefault="001C76CC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9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6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346F3F">
        <w:tc>
          <w:tcPr>
            <w:tcW w:w="635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94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lastRenderedPageBreak/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4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B34FEE" w:rsidRPr="00E0552A" w:rsidRDefault="005277FD" w:rsidP="005277F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1C76CC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5277F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5277FD">
              <w:rPr>
                <w:rFonts w:ascii="Arial Unicode" w:hAnsi="Arial Unicode" w:cs="Sylfaen"/>
                <w:b/>
                <w:sz w:val="20"/>
                <w:lang w:val="es-ES"/>
              </w:rPr>
              <w:t>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6736FE">
              <w:rPr>
                <w:rFonts w:ascii="Arial LatArm" w:hAnsi="Arial LatArm" w:cs="Sylfaen"/>
                <w:b/>
                <w:sz w:val="20"/>
                <w:lang w:val="es-ES"/>
              </w:rPr>
              <w:t>43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6736FE" w:rsidP="001C76CC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12.04</w:t>
            </w:r>
            <w:r w:rsidR="00B34FEE">
              <w:rPr>
                <w:rFonts w:ascii="Arial Armenian" w:hAnsi="Arial Armenian"/>
              </w:rPr>
              <w:t>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19AC" w:rsidRDefault="006736FE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259.000</w:t>
            </w:r>
          </w:p>
        </w:tc>
      </w:tr>
      <w:tr w:rsidR="006736F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Default="006736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736FE" w:rsidRDefault="006736FE" w:rsidP="00DF2B3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6736FE" w:rsidRDefault="006736FE" w:rsidP="00DF2B3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6736FE" w:rsidRDefault="006736FE" w:rsidP="00DF2B3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6736FE" w:rsidRPr="00E0552A" w:rsidRDefault="006736FE" w:rsidP="00DF2B3B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736FE" w:rsidRDefault="006736FE" w:rsidP="00DF2B3B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736FE" w:rsidRPr="00ED7D0E" w:rsidRDefault="006736FE" w:rsidP="00DF2B3B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43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DF2B3B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12.04.2016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736FE" w:rsidRPr="00131113" w:rsidRDefault="006736F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736FE" w:rsidRDefault="006736FE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145.000</w:t>
            </w:r>
          </w:p>
        </w:tc>
      </w:tr>
      <w:tr w:rsidR="006736F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Default="006736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3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736FE" w:rsidRDefault="006736FE" w:rsidP="00DF2B3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6736FE" w:rsidRDefault="006736FE" w:rsidP="00DF2B3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6736FE" w:rsidRDefault="006736FE" w:rsidP="00DF2B3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6736FE" w:rsidRPr="00E0552A" w:rsidRDefault="006736FE" w:rsidP="00DF2B3B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736FE" w:rsidRDefault="006736FE" w:rsidP="00DF2B3B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736FE" w:rsidRPr="00ED7D0E" w:rsidRDefault="006736FE" w:rsidP="00DF2B3B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43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DF2B3B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12.04.2016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FE" w:rsidRPr="008413A4" w:rsidRDefault="006736F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736FE" w:rsidRPr="00131113" w:rsidRDefault="006736F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736FE" w:rsidRDefault="006736FE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285.000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34FEE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B34FEE" w:rsidRPr="00E0552A" w:rsidRDefault="00B34FEE" w:rsidP="005277F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B34FEE" w:rsidRPr="00E66A05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725AE9" w:rsidP="001C76CC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725AE9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B34FEE" w:rsidRPr="00D84CE4" w:rsidRDefault="00B34FEE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725AE9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B34FEE" w:rsidRPr="004F1B6D" w:rsidRDefault="00B34FEE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C63A40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6736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Default="00C63A40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Pr="00E0552A" w:rsidRDefault="00C63A40" w:rsidP="00346F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Pr="00E66A05" w:rsidRDefault="00C63A40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346F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346F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C63A40" w:rsidRPr="00D84CE4" w:rsidRDefault="00C63A40" w:rsidP="00346F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346F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C63A40" w:rsidRPr="004F1B6D" w:rsidRDefault="00C63A40" w:rsidP="00346F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C63A40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6736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A40" w:rsidRDefault="00C63A40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C63A40" w:rsidRPr="00E0552A" w:rsidRDefault="00C63A40" w:rsidP="00346F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C63A40" w:rsidRDefault="00C63A40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C63A40" w:rsidRPr="00E66A05" w:rsidRDefault="00C63A40" w:rsidP="00346F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Default="00C63A40" w:rsidP="00346F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346F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C63A40" w:rsidRPr="00D84CE4" w:rsidRDefault="00C63A40" w:rsidP="00346F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A40" w:rsidRPr="00725AE9" w:rsidRDefault="00C63A40" w:rsidP="00346F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C63A40" w:rsidRPr="004F1B6D" w:rsidRDefault="00C63A40" w:rsidP="00346F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61" w:type="dxa"/>
            <w:gridSpan w:val="24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21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9C" w:rsidRDefault="00C23F9C">
      <w:r>
        <w:separator/>
      </w:r>
    </w:p>
  </w:endnote>
  <w:endnote w:type="continuationSeparator" w:id="0">
    <w:p w:rsidR="00C23F9C" w:rsidRDefault="00C2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6FE">
      <w:rPr>
        <w:rStyle w:val="PageNumber"/>
        <w:noProof/>
      </w:rPr>
      <w:t>6</w: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9C" w:rsidRDefault="00C23F9C">
      <w:r>
        <w:separator/>
      </w:r>
    </w:p>
  </w:footnote>
  <w:footnote w:type="continuationSeparator" w:id="0">
    <w:p w:rsidR="00C23F9C" w:rsidRDefault="00C23F9C">
      <w:r>
        <w:continuationSeparator/>
      </w:r>
    </w:p>
  </w:footnote>
  <w:footnote w:id="1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346F3F" w:rsidRPr="002D0BF6" w:rsidRDefault="00346F3F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7199E"/>
    <w:rsid w:val="00177BF5"/>
    <w:rsid w:val="00183A4B"/>
    <w:rsid w:val="001B1B28"/>
    <w:rsid w:val="001C43FC"/>
    <w:rsid w:val="001C76CC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4E9F"/>
    <w:rsid w:val="003643B0"/>
    <w:rsid w:val="003672B6"/>
    <w:rsid w:val="003B0217"/>
    <w:rsid w:val="003C38B3"/>
    <w:rsid w:val="003E233F"/>
    <w:rsid w:val="004010FE"/>
    <w:rsid w:val="004019AC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37CD"/>
    <w:rsid w:val="00855A32"/>
    <w:rsid w:val="008619EA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865E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3F9C"/>
    <w:rsid w:val="00C26DCA"/>
    <w:rsid w:val="00C26F78"/>
    <w:rsid w:val="00C31E9E"/>
    <w:rsid w:val="00C40743"/>
    <w:rsid w:val="00C47270"/>
    <w:rsid w:val="00C54C0A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7ED2-43D7-44BC-9261-1842D177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6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61</cp:revision>
  <dcterms:created xsi:type="dcterms:W3CDTF">2014-03-20T22:36:00Z</dcterms:created>
  <dcterms:modified xsi:type="dcterms:W3CDTF">2016-04-12T08:12:00Z</dcterms:modified>
</cp:coreProperties>
</file>