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7"/>
          <w:szCs w:val="27"/>
        </w:rPr>
        <w:t>ՀԱՅԱՍՏԱՆԻ ՀԱՆՐԱՊԵՏՈՒԹՅԱՆ ԿԱՌԱՎԱՐՈՒԹՅՈՒՆ</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36"/>
          <w:szCs w:val="36"/>
        </w:rPr>
        <w:t>Ո Ր Ո Շ ՈՒ Մ</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20 սեպտեմբերի 2012 թվականի N 1241-Ն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ՊԵՏՈՒԹՅՈՒՆ-ՄԱՍՆԱՎՈՐ ԳՈՐԾԸՆԿԵՐՈՒԹՅԱՆ ԾՐԱԳՐԵՐԻ ԳՆԱՀԱՏՄԱՆ ԵՎ ՀԱՍՏԱՏՄԱՆ ԿԱՐԳԸ ՀԱՍՏԱՏԵԼՈՒ ՄԱՍԻՆ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Հայաստանի Հանրապետության կառավարությունը</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որոշում է.</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Հաստատել Պետություն-մասնավոր գործընկերության ծրագրերի գնահատման և հաստատման կարգը` համաձայն հավելվածի:</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Սույն որոշումն ուժի մեջ է մտնում պաշտոնական հրապարակմանը հաջորդող օրվանից:</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D34D0B" w:rsidRPr="00D34D0B" w:rsidTr="00D34D0B">
        <w:trPr>
          <w:tblCellSpacing w:w="7" w:type="dxa"/>
        </w:trPr>
        <w:tc>
          <w:tcPr>
            <w:tcW w:w="4500" w:type="dxa"/>
            <w:shd w:val="clear" w:color="auto" w:fill="FFFFFF"/>
            <w:vAlign w:val="center"/>
            <w:hideMark/>
          </w:tcPr>
          <w:p w:rsidR="00D34D0B" w:rsidRPr="00D34D0B" w:rsidRDefault="00D34D0B" w:rsidP="00D34D0B">
            <w:pPr>
              <w:spacing w:before="100" w:beforeAutospacing="1" w:after="100" w:afterAutospacing="1"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Հայաստանի Հանրապետության</w:t>
            </w:r>
            <w:r w:rsidRPr="00D34D0B">
              <w:rPr>
                <w:rFonts w:ascii="Arial Unicode" w:eastAsia="Times New Roman" w:hAnsi="Arial Unicode" w:cs="Times New Roman"/>
                <w:b/>
                <w:bCs/>
                <w:color w:val="000000"/>
                <w:sz w:val="21"/>
                <w:szCs w:val="21"/>
              </w:rPr>
              <w:br/>
              <w:t>վարչապետ</w:t>
            </w:r>
          </w:p>
        </w:tc>
        <w:tc>
          <w:tcPr>
            <w:tcW w:w="0" w:type="auto"/>
            <w:shd w:val="clear" w:color="auto" w:fill="FFFFFF"/>
            <w:vAlign w:val="bottom"/>
            <w:hideMark/>
          </w:tcPr>
          <w:p w:rsidR="00D34D0B" w:rsidRPr="00D34D0B" w:rsidRDefault="00D34D0B" w:rsidP="00D34D0B">
            <w:pPr>
              <w:spacing w:after="0" w:line="240" w:lineRule="auto"/>
              <w:jc w:val="right"/>
              <w:rPr>
                <w:rFonts w:ascii="Arial Unicode" w:eastAsia="Times New Roman" w:hAnsi="Arial Unicode" w:cs="Times New Roman"/>
                <w:color w:val="000000"/>
                <w:sz w:val="21"/>
                <w:szCs w:val="21"/>
              </w:rPr>
            </w:pPr>
            <w:r w:rsidRPr="00D34D0B">
              <w:rPr>
                <w:rFonts w:ascii="Arial" w:eastAsia="Times New Roman" w:hAnsi="Arial" w:cs="Arial"/>
                <w:b/>
                <w:bCs/>
                <w:color w:val="000000"/>
                <w:sz w:val="21"/>
                <w:szCs w:val="21"/>
              </w:rPr>
              <w:t> </w:t>
            </w:r>
            <w:r w:rsidRPr="00D34D0B">
              <w:rPr>
                <w:rFonts w:ascii="Arial Unicode" w:eastAsia="Times New Roman" w:hAnsi="Arial Unicode" w:cs="Arial Unicode"/>
                <w:b/>
                <w:bCs/>
                <w:color w:val="000000"/>
                <w:sz w:val="21"/>
                <w:szCs w:val="21"/>
              </w:rPr>
              <w:t>Տ</w:t>
            </w:r>
            <w:r w:rsidRPr="00D34D0B">
              <w:rPr>
                <w:rFonts w:ascii="Arial Unicode" w:eastAsia="Times New Roman" w:hAnsi="Arial Unicode" w:cs="Times New Roman"/>
                <w:b/>
                <w:bCs/>
                <w:color w:val="000000"/>
                <w:sz w:val="21"/>
                <w:szCs w:val="21"/>
              </w:rPr>
              <w:t xml:space="preserve">. </w:t>
            </w:r>
            <w:r w:rsidRPr="00D34D0B">
              <w:rPr>
                <w:rFonts w:ascii="Arial Unicode" w:eastAsia="Times New Roman" w:hAnsi="Arial Unicode" w:cs="Arial Unicode"/>
                <w:b/>
                <w:bCs/>
                <w:color w:val="000000"/>
                <w:sz w:val="21"/>
                <w:szCs w:val="21"/>
              </w:rPr>
              <w:t>Սարգսյա</w:t>
            </w:r>
            <w:r w:rsidRPr="00D34D0B">
              <w:rPr>
                <w:rFonts w:ascii="Arial Unicode" w:eastAsia="Times New Roman" w:hAnsi="Arial Unicode" w:cs="Times New Roman"/>
                <w:b/>
                <w:bCs/>
                <w:color w:val="000000"/>
                <w:sz w:val="21"/>
                <w:szCs w:val="21"/>
              </w:rPr>
              <w:t>ն</w:t>
            </w:r>
          </w:p>
        </w:tc>
      </w:tr>
      <w:tr w:rsidR="00D34D0B" w:rsidRPr="00D34D0B" w:rsidTr="00D34D0B">
        <w:trPr>
          <w:tblCellSpacing w:w="7" w:type="dxa"/>
        </w:trPr>
        <w:tc>
          <w:tcPr>
            <w:tcW w:w="4500" w:type="dxa"/>
            <w:shd w:val="clear" w:color="auto" w:fill="FFFFFF"/>
            <w:vAlign w:val="center"/>
            <w:hideMark/>
          </w:tcPr>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2012 թ. հոկտեմբերի 9</w:t>
            </w:r>
          </w:p>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Երևան</w:t>
            </w:r>
          </w:p>
        </w:tc>
        <w:tc>
          <w:tcPr>
            <w:tcW w:w="0" w:type="auto"/>
            <w:shd w:val="clear" w:color="auto" w:fill="FFFFFF"/>
            <w:vAlign w:val="bottom"/>
            <w:hideMark/>
          </w:tcPr>
          <w:p w:rsidR="00D34D0B" w:rsidRPr="00D34D0B" w:rsidRDefault="00D34D0B" w:rsidP="00D34D0B">
            <w:pPr>
              <w:spacing w:after="0" w:line="240" w:lineRule="auto"/>
              <w:jc w:val="right"/>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tc>
      </w:tr>
    </w:tbl>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gridCol w:w="4521"/>
      </w:tblGrid>
      <w:tr w:rsidR="00D34D0B" w:rsidRPr="00D34D0B" w:rsidTr="00D34D0B">
        <w:trPr>
          <w:tblCellSpacing w:w="7" w:type="dxa"/>
        </w:trPr>
        <w:tc>
          <w:tcPr>
            <w:tcW w:w="0" w:type="auto"/>
            <w:shd w:val="clear" w:color="auto" w:fill="FFFFFF"/>
            <w:vAlign w:val="center"/>
            <w:hideMark/>
          </w:tcPr>
          <w:p w:rsidR="00D34D0B" w:rsidRPr="00D34D0B" w:rsidRDefault="00D34D0B" w:rsidP="00D34D0B">
            <w:pPr>
              <w:spacing w:after="0" w:line="240" w:lineRule="auto"/>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tc>
        <w:tc>
          <w:tcPr>
            <w:tcW w:w="4500" w:type="dxa"/>
            <w:shd w:val="clear" w:color="auto" w:fill="FFFFFF"/>
            <w:vAlign w:val="bottom"/>
            <w:hideMark/>
          </w:tcPr>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15"/>
                <w:szCs w:val="15"/>
              </w:rPr>
              <w:t>Հավելված</w:t>
            </w:r>
          </w:p>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15"/>
                <w:szCs w:val="15"/>
              </w:rPr>
              <w:t>ՀՀ կառավարության 2012 թվականի</w:t>
            </w:r>
          </w:p>
          <w:p w:rsidR="00D34D0B" w:rsidRPr="00D34D0B" w:rsidRDefault="00D34D0B" w:rsidP="00D34D0B">
            <w:pPr>
              <w:spacing w:after="0" w:line="240" w:lineRule="auto"/>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15"/>
                <w:szCs w:val="15"/>
              </w:rPr>
              <w:t>սեպտեմբերի 20-ի N 1241-Ն որոշման</w:t>
            </w:r>
          </w:p>
        </w:tc>
      </w:tr>
    </w:tbl>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Կ Ա Ր Գ</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ՊԵՏՈՒԹՅՈՒՆ-ՄԱՍՆԱՎՈՐ ԳՈՐԾԸՆԿԵՐՈՒԹՅԱՆ ԾՐԱԳՐԵՐԻ ԳՆԱՀԱՏՄԱՆ ԵՎ ՀԱՍՏԱՏՄԱՆ</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I. ԿԱՐԳԱՎՈՐՄԱՆ ԱՌԱՐԿԱՆ ԵՎ ՀԻՄՆԱԿԱՆ ՀԱՍԿԱՑՈՒԹՅՈՒՆՆԵՐԸ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Սույն կարգով սահմանվում են նախքան գնումների գործընթացն սկսելը Պետություն-մասնավոր գործընկերության (այսուհետ` ՊՄԳ) ծրագրերի (այսուհետ` ծրագրային առաջարկ) և գնումների գործընթացի իրականացմամբ մասնավոր գործընկերոջ ընտրությունից հետո ՊՄԳ ծրագրի (այսուհետ` վերջնական ծրագիր) գնահատման և հաստատման կարգն ու չափանիշները: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Սույն կարգում օգտագործվող հասկացություններն են`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ՊՄԳ`</w:t>
      </w:r>
      <w:r w:rsidRPr="00D34D0B">
        <w:rPr>
          <w:rFonts w:ascii="Arial" w:eastAsia="Times New Roman" w:hAnsi="Arial" w:cs="Arial"/>
          <w:color w:val="000000"/>
          <w:sz w:val="21"/>
          <w:szCs w:val="21"/>
        </w:rPr>
        <w:t> </w:t>
      </w:r>
      <w:r w:rsidRPr="00D34D0B">
        <w:rPr>
          <w:rFonts w:ascii="Arial Unicode" w:eastAsia="Times New Roman" w:hAnsi="Arial Unicode" w:cs="Times New Roman"/>
          <w:color w:val="000000"/>
          <w:sz w:val="21"/>
          <w:szCs w:val="21"/>
        </w:rPr>
        <w:t>հանրային կողմի և մասնավոր գործընկերոջ միջև համագործակցություն, որն ուղղված է ենթակառուցվածքների ֆինանսավորմանը, կառուցմանը, վերանորոգմանը, կառավարմանը, պահպանմանը, շահագործումից դուրսբերմանը, դրանց միջոցով երկարաժամկետ ծառայությունների մատուցմանը (ՊՄԳ-ն պետք է ներառի նշված գործողություններից առնվազն երկուսը) թափանցիկության, մրցակցության, համագործակցության երկարատևության սկզբունքների հիման վրա.</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ՊՄԳ ծրագիր՝</w:t>
      </w:r>
      <w:r w:rsidRPr="00D34D0B">
        <w:rPr>
          <w:rFonts w:ascii="Arial" w:eastAsia="Times New Roman" w:hAnsi="Arial" w:cs="Arial"/>
          <w:color w:val="000000"/>
          <w:sz w:val="21"/>
          <w:szCs w:val="21"/>
        </w:rPr>
        <w:t> </w:t>
      </w:r>
      <w:r w:rsidRPr="00D34D0B">
        <w:rPr>
          <w:rFonts w:ascii="Arial Unicode" w:eastAsia="Times New Roman" w:hAnsi="Arial Unicode" w:cs="Times New Roman"/>
          <w:color w:val="000000"/>
          <w:sz w:val="21"/>
          <w:szCs w:val="21"/>
        </w:rPr>
        <w:t>ՊՄԳ-ի իրականացմանն ուղղված գործողությունների ամբողջություն.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մասնավոր գործընկեր՝</w:t>
      </w:r>
      <w:r w:rsidRPr="00D34D0B">
        <w:rPr>
          <w:rFonts w:ascii="Arial" w:eastAsia="Times New Roman" w:hAnsi="Arial" w:cs="Arial"/>
          <w:color w:val="000000"/>
          <w:sz w:val="21"/>
          <w:szCs w:val="21"/>
        </w:rPr>
        <w:t> </w:t>
      </w:r>
      <w:r w:rsidRPr="00D34D0B">
        <w:rPr>
          <w:rFonts w:ascii="Arial Unicode" w:eastAsia="Times New Roman" w:hAnsi="Arial Unicode" w:cs="Times New Roman"/>
          <w:color w:val="000000"/>
          <w:sz w:val="21"/>
          <w:szCs w:val="21"/>
        </w:rPr>
        <w:t>օտարերկրյա կամ Հայաստանի Հանրապետության մեկ կամ մի քանի իրավաբանական անձ կամ անհատ ձեռնարկատեր, որոնք մասնակցում են ՊՄԳ ծրագրերին.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4)</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ՊՄԳ լիազոր մարմին`</w:t>
      </w:r>
      <w:r w:rsidRPr="00D34D0B">
        <w:rPr>
          <w:rFonts w:ascii="Arial" w:eastAsia="Times New Roman" w:hAnsi="Arial" w:cs="Arial"/>
          <w:color w:val="000000"/>
          <w:sz w:val="21"/>
          <w:szCs w:val="21"/>
        </w:rPr>
        <w:t> </w:t>
      </w:r>
      <w:r w:rsidRPr="00D34D0B">
        <w:rPr>
          <w:rFonts w:ascii="Arial Unicode" w:eastAsia="Times New Roman" w:hAnsi="Arial Unicode" w:cs="Times New Roman"/>
          <w:color w:val="000000"/>
          <w:sz w:val="21"/>
          <w:szCs w:val="21"/>
        </w:rPr>
        <w:t>Հայաստանի Հանրապետության կառավարության կողմից լիազորված հանրապետական գործադիր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5)</w:t>
      </w:r>
      <w:r w:rsidRPr="00D34D0B">
        <w:rPr>
          <w:rFonts w:ascii="Arial" w:eastAsia="Times New Roman" w:hAnsi="Arial" w:cs="Arial"/>
          <w:color w:val="000000"/>
          <w:sz w:val="21"/>
          <w:szCs w:val="21"/>
        </w:rPr>
        <w:t> </w:t>
      </w:r>
      <w:r w:rsidRPr="00D34D0B">
        <w:rPr>
          <w:rFonts w:ascii="Arial Unicode" w:eastAsia="Times New Roman" w:hAnsi="Arial Unicode" w:cs="Times New Roman"/>
          <w:b/>
          <w:bCs/>
          <w:i/>
          <w:iCs/>
          <w:color w:val="000000"/>
          <w:sz w:val="21"/>
          <w:szCs w:val="21"/>
        </w:rPr>
        <w:t>հանրային կողմ՝</w:t>
      </w:r>
      <w:r w:rsidRPr="00D34D0B">
        <w:rPr>
          <w:rFonts w:ascii="Arial" w:eastAsia="Times New Roman" w:hAnsi="Arial" w:cs="Arial"/>
          <w:b/>
          <w:bCs/>
          <w:i/>
          <w:iCs/>
          <w:color w:val="000000"/>
          <w:sz w:val="21"/>
          <w:szCs w:val="21"/>
        </w:rPr>
        <w:t> </w:t>
      </w:r>
      <w:r w:rsidRPr="00D34D0B">
        <w:rPr>
          <w:rFonts w:ascii="Arial Unicode" w:eastAsia="Times New Roman" w:hAnsi="Arial Unicode" w:cs="Times New Roman"/>
          <w:color w:val="000000"/>
          <w:sz w:val="21"/>
          <w:szCs w:val="21"/>
        </w:rPr>
        <w:t>պետական կառավարման կամ տեղական ինքնակառավարման մարմիններ:</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lastRenderedPageBreak/>
        <w:t>II. ԾՐԱԳՐԱՅԻՆ ԱՌԱՋԱՐԿԻ ԳՆԱՀԱՏՈՒՄԸ ԵՎ ՀԱՍՏԱՏՈՒՄԸ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Ծրագրային առաջարկ ներկայացնելը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հանրային կողմը սույն կարգի II գլխի 2-րդ կետի 1-ին և 2-րդ ենթակետերով սահմանված «ծրագրային առաջարկը և հարակից փաստաթղթերը» (այսուհետ` ծրագրային առաջարկի հայտ) ներկայացնում է Հայաստանի Հանրապետության կառավարություն և կրկնօրինակը՝ ՊՄԳ լիազոր մարմին (այսուհետ` լիազոր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Հայաստանի Հանրապետության կառավարության աշխատակազմը ծրագրային առաջարկի հայտն ստանալուց հետո 5 աշխատանքային օրվա ընթացքում պետք է սույն կարգի II գլխով սահմանված ծրագրային առաջարկը, Հայաստանի Հանրապետության վարչապետի հանձնարարությամբ, եզրակացություն ստանալու նպատակով ուղարկի ֆինանսների ոլորտում պետական լիազոր մարմին, ՊՄԳ լիազոր մարմին, համապատասխան ոլորտի պետական կառավարման լիազոր մարմին (այսուհետ՝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 մարմինները ծրագրային առաջարկի հայտը Հայաստանի Հանրապետության կառավարությունից ստանալուց հետո 30 աշխատանքային օրվա ընթացքում, իրենց իրավասությունների շրջանակներում, վերջինիս վերաբերյալ եզրակացությունը ներկայացնում են լիազոր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4) մարմինները կարող են պահանջել ծրագրային առաջարկին վերաբերող՝ օրենքով չարգելվող և սույն կարգով սահմանված իրենց պարտավորությունների կատարման նպատակով անհրաժեշտ, լրացուցիչ այլ փաստաթղթեր և պարզաբանումներ (այսուհետ` լրացուցիչ տեղեկատվության պահանջ): Մարմինները պետք է լիազոր մարմին լրացուցիչ տեղեկատվության պահանջ ներկայացնեն ծրագրային առաջարկն ստանալուց հետո 15 աշխատանքային օրվա ընթացքում.</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5) ՊՄԳ լիազոր մարմինը գնահատում է լրացուցիչ տեղեկատվության պահանջը և անհրաժեշտության դեպքում այն ներկայացնում հանրային կողմին: Լրացուցիչ տեղեկատվության պահանջ ներկայացնելու անհրաժեշտությունը հիմնավորված չլինելու դեպքում լիազոր մարմինն այն վերադարձնում է լրացուցիչ տեղեկատվության պահանջ ներկայացրած մարմնին.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6) հանրային կողմը 10 աշխատանքային օրվա ընթացքում լիազոր մարմնին է տրամադրում պահանջվող տեղեկատվությունը.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7) մարմինները լիազոր մարմնից լրացուցիչ տեղեկատվությունն ստանալուց հետո 10 աշխատանքային օրվա ընթացքում ծրագրային առաջարկի հայտի վերաբերյալ, իրենց իրավասությունների շրջանակներում, եզրակացությունը ներկայացնում են լիազոր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8) մարմինները իրենց եզրակացությունները (դրական կամ բացասական) պետք է ներկայացնեն սույն կարգով թույլատրված ժամանակահատվածում, այն պատճառաբանումների հետ միասին, որոնք հանգեցրել են եզրակացությանը: Այն դեպքերում, երբ մարմինը տրված ժամանակահատվածում չի ներկայացնում եզրակացություն, համարվում է, որ վերջինս ծրագրային առաջարկի հայտի վերաբերյալ առարկություններ չունի.</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9) լիազոր մարմինը մարմիններից եզրակացությունն ստանալուց հետո 20 աշխատանքային օրվա ընթացքում ամփոփում է այն և Հայաստանի Հանրապետության կառավարության քննարկմանը ներկայացնում ծրագրային առաջարկը հաստատելու կամ մերժելու մասին Հայաստանի Հանրապետության կառավարության որոշման նախագիծը, որը ներառում է եզրակացությունների ամփոփումը, մարմինների եզրակացությունները՝ իրենց մասնագիտական առաջարկությունների հետ միասին, լիազոր մարմնի եզրակացությունը, ծրագրային առաջարկի արված լրամշակումները: Եթե լիազոր մարմինը ներկայացնում է ամբողջական ծրագրային առաջարկը մերժելու վերաբերյալ առաջարկություն, ապա այն պետք է նաև ներառի մերժման վերաբերյալ առաջարկության հիմքերը: Լիազոր մարմինը ծրագրային առաջարկի մերժման մասին որոշման նախագիծը պետք է ներկայացնի այն դեպքում, եթե ծրագրային առաջարկը չի բավարարում սույն կարգի II գլխի 3-րդ կետով սահմանված չափանիշներից որևէ մեկը.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10) Հայաստանի Հանրապետության կառավարությունը քննարկում է սույն կարգի II գլխի 1-ին կետի 9-րդ ենթակետով սահմանված ծրագրային առաջարկի մերժման կամ հաստատման մասին որոշման նախագիծը և այն ստանալուց հետո 15 աշխատանքային օրվա ընթացքում հաստատում է այն.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lastRenderedPageBreak/>
        <w:t>11) եթե Հայաստանի Հանրապետության կառավարությունը հաստատում է ծրագրային առաջարկը, ապա հանրային կողմն իրականացնում է «Գնումների մասին» Հայաստանի Հանրապետության օրենքով սահմանված կարգով մասնավոր գործընկերոջ ընտրություն.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12) եթե Հայաստանի Հանրապետության կառավարությունը մերժում է ծրագրային առաջարկը, ապա այն կարող է բողոքարկվել օրենքով սահմանված կարգով:</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Ծրագրային առաջարկի հաստատման նպատակով հանրային կողմի կողմից ներկայացվող փաստաթղթերի բովանդակությունը և ցանկը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ծրագրային առաջարկը ներառում է հետևյալը՝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հանրային կողմի անհատականացման տվյալները,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ծրագրային առաջարկի համառոտ բնութագիրը,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առաջարկվող ՊՄԳ մոդելի նկարագրությունը, որի հիման վրա պետք է իրականացվի առաջարկվող ծրագիրը,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դ. ՊՄԳ պայմանագրի նախագիծը,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 մասնավոր գործընկերոջ ընտրության՝ առաջարկվող ընթացակարգի և ժամանակացույցի համառոտ բնութագիրը,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զ. ծրագրային առաջարկի իրագործելիության ուսումնասիրությունը, ներառյալ համեմատությունը ՊՄԳ մոդելի պլանավորած արժեքի և նախագծի իրականացման բոլոր ծախսերի՝ դասական (բյուջետային) ֆինանսավորման մոդելով` պայմանագրով առաջարկվող ժամկետի ընթացքում,</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է. ռիսկերի մատրիցան, որն ամփոփում է հանրային կողմի և մասնավոր գործընկերոջ միջև ռիսկի կամ բաշխված ռիսկերի բաշխումը,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ը. շրջակա միջավայրի վրա ազդեցության գնահատման վերաբերյալ որոշումը, եթե նախագծի խնդրի և նպատակի տեսանկյունից կա օրինական պարտավորություն՝ վերջինիս վերաբերյալ որոշում ընդունելու համար.</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սույն կետի 1-ին ենթակետով սահմանված տեղեկության հետ միասին հանրային կողմը պետք է ներկայացնի նաև հետևյալ փաստաթղթերը`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որոշման կամ որևէ այլ իրավական ակտի պատճենը, որը հաստատում է, որ առաջարկվող ծրագրի իրականացումը հանրային կողմի իրավասությունների շրջանակներում է,</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հիմնավորումն այն մասին, որ ծրագրային առաջարկը համապատասխանում է հանրային կողմի կողմից մինչև այդ ընդունված ռազմավարական և (կամ) զարգացման փաստաթղթերին,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տեղեկատվություն Հայաստանի Հանրապետությունում գործող նմանատիպ ՊՄԳ ծրագրերի և պայմանագրերի մասին ու դրա վրա հիմնված բոլոր հաշվարկները.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 Հայաստանի Հանրապետության կառավարությունը եզրակացություն տվող մարմիններին պետք է տրամադրի հանրային կողմի կողմից ներկայացված հետևյալ տեղեկատվությունը՝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հանրային կողմի անհատականացման տվյալները,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ծրագրային առաջարկի համառոտ բնութագիրը,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առաջարկվող ՊՄԳ մոդելի նկարագրությունը, որի հիման վրա պետք է իրականացվի առաջարկվող ծրագիրը,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դ. մասնավոր գործընկերոջ ընտրության՝ առաջարկվող ընթացակարգի և ժամանակացույցի համառոտագիրը,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 ռիսկերի մատրիցան, որն ամփոփում է հանրային կողմի և մասնավոր գործընկերոջ միջև ռիսկի կամ բաշխված ռիսկերի բաշխումը,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զ. շրջակա միջավայրի վրա ազդեցության գնահատման վերաբերյալ որոշումը, եթե նախագծի խնդրի և նպատակի տեսանկյունից կա օրինական պարտավորություն՝ վերջինիս վերաբերյալ որոշում ընդունելու համար:</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 Ծրագրային առաջարկի գնահատման չափանիշները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ծրագրային առաջարկի գնահատման չափանիշներն են`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հանրային հետաքրքրության առկայությունը կամ հանրային ծառայության ապահովման անհրաժեշտությունը,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առաջարկվող ծրագիրն իրականացնելու՝ հանրային կողմի օրինական իրավասությունը,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ծրագրային առաջարկի և տվյալ ոլորտային առկա զարգացման ծրագրերին ու ռազմավարություններին համապատասխանությունը,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lastRenderedPageBreak/>
        <w:t>դ. ծրագրային առաջարկի համապատասխանությունը բյուջետային կանխատեսումներին, ֆիսկալ ռիսկերին ու սահմանափակումներին,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 ծրագրային առաջարկի ֆինանսական և ֆիսկալ կայունությունը,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զ. ծրագրային առաջարկի՝ ՊՄԳ պետական քաղաքականությանը համապատասխանությունը,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է. պարտավորությունների և ռիսկերի բաշխումը պետության և մասնավոր գործընկերների միջև, փողի արժեք` հաշվարկված առաջարկվող ծրագրի իրականացման և «պայմանական (բյուջետային) ծրագրի իրականացման համեմատությամբ,</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ը. ՊՄԳ պայմանագրի նախագծի համապատասխանությունը ՊՄԳ պայմանագրերի օրինակելի ձևերով սահմանված բովանդակությանը ներկայացվող պարտադիր պահանջներին,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թ. առաջարկվող պայմանագրային ժամկետը, որը չի կարող լինել ավելի կարճ, քան 5 տարին և ավելի երկար, քան 30 տարին.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մարմինները, ծրագրային առաջարկի վերաբերյալ եզրակացություն ներկայացնելիս, պետք է հաշվի առնեն հետևյալ չափանիշները՝ համապատասխան մարմնի իրավասությունների շրջանակներում՝</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հանրային հետաքրքրության առկայություն կամ հանրային ծառայության ապահովման անհրաժեշտություն,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ծրագրային առաջարկի և տվյալ ոլորտային առկա զարգացման ծրագրերին ու ռազմավարություններին համապատասխանություն,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ծրագրային առաջարկի համապատասխանություն բյուջետային կանխատեսումներին, ֆիսկալ ռիսկերին ու սահմանափակումներին,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դ. ծրագրային առաջարկի՝ ՊՄԳ պետական քաղաքականությանը համապատասխանություն տվյալ ոլորտում:</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III. ՄԱՍՆԱՎՈՐ ԳՈՐԾԸՆԿԵՐՈՋ ԸՆՏՐՈՒԹՅՈՒՆԻՑ ՀԵՏՈ ՎԵՐՋՆԱԿԱՆ ԾՐԱԳՐԻ ԳՆԱՀԱՏՈՒՄԸ ԵՎ ՀԱՍՏԱՏՈՒՄԸ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Վերջնական ծրագիրը հաստատման ներկայացնելը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հանրային կողմը մասնավոր գործընկերոջ ընտրության գործընթացի ավարտից հետո 15 աշխատանքային օրվա ընթացքում սույն կարգի III գլխի 2-րդ կետով սահմանված «վերջնական ծրագիրը և հարակից փաստաթղթերը» (այսուհետ` վերջնական ծրագրի հաստատման հայտ) ներկայացնում է Հայաստանի Հանրապետության կառավարություն և կրկնօրինակը՝ լիազոր մարմին.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Հայաստանի Հանրապետության կառավարությունը վերջնական ծրագրի հաստատման հայտն ստանալուց հետո 5 աշխատանքային օրվա ընթացքում, Հայաստանի Հանրապետության վարչապետի հանձնարարությամբ, եզրակացություն ստանալու նպատակով այն ուղարկում է մարմիններ.</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 մարմինները վերջնական ծրագրի հաստատման հայտն ստանալուց հետո 15 աշխատանքային օրվա ընթացքում լիազոր մարմին են ներկայացնում իրենց եզրակացությունները: Եթե մարմինը սահմանված ժամկետում եզրակացությունը չի ներկայացնում, համարվում է, որ վերջինս վերջնական ծրագրի հաստատման հայտի վերաբերյալ դիտողություններ չունի.</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4) մարմինների կողմից եզրակացության ստացումից հետո 5 աշխատանքային օրվա ընթացքում լիազոր մարմինն ամոփոփում է այն և սահմանված կարգով Հայաստանի Հանրապետության կառավարության քննարկմանը ներկայացնում վերջնական ծրագիրը հաստատելու մասին Հայաստանի Հանրապետության կառավարության որոշման նախագիծը (այսուհետ` վերջնական նախագիծ), որը ներառում է եզրակացությունների ամփոփումը, մարմինների եզրակացությունները՝ իրենց մասնագիտական առաջարկությունների հետ միասին.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5) Հայաստանի Հանրապետության կառավարությունը քննարկում է ներկայացված վերջնական նախագիծը և հաստատում կամ մերժում է՝ այն ստանալուց հետո 15 աշխատանքային օրվա ընթացքում: Հայաստանի Հանրապետության կառավարությունը վերջնական նախագիծը մերժում է, եթե վերջնական ծրագիրը չի բավարարում սույն կարգի III գլխի 3-րդ կետով սահմանված չափանիշներից որևէ մեկը.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lastRenderedPageBreak/>
        <w:t>6) Հայաստանի Հանրապետության կառավարությունը վերջնական նախագիծը կարող է մերժել նաև այլ դեպքում.</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7) այն դեպքերում, երբ Հայաստանի Հանրապետության կառավարությունը մերժում է վերջնական նախագիծը, այն կարող է բողոքարկվել օրենքով սահմանված կարգով:</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2. Վերջնական ծրագրի հաստատման նպատակով հանրային կողմի կողմից ներկայացվող փաստաթղթերի բովանդակությունը և ցանկը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վերջնական ծրագրի հաստատման հայտը ներառում է հետևյալը՝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վերջնական ծրագրի համառոտ բնութագիրը և սկզբնական ծրագրային առաջարկի նկատմամբ կատարված փոփոխությունների համեմատական տեղեկանքը,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ՊՄԳ պայմանագրի նախագծի լրամշակված տարբերակը` նշելով փոփոխությունները ծրագրային առաջարկի հետ ներկայացված ՊՄԳ պայմանագրի նախագծի համեմատ,</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ամփոփ համեմատական տեղեկանք ծրագրային առաջարկի և վերջնական ծրագրի տարբերությունների մասին՝ ներառյալ ՊՄԳ կառուցվածքի փոփոխությունները,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դ. պետական և մասնավոր գործընկերների միջև ռիսկերի ու պարտականությունների բաշխման փոփոխությունները,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 մասնավոր գործընկերոջ ընտրության համար իրականացված ընթացակարգի համառոտ բնութագիրը: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3. Վերջնական ծրագրի գնահատման չափանիշները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1) վերջնական ծրագրի գնահատման և հաստատման չափանիշներն են`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ա. հանրային հետաքրքրության առկայությունը կամ հանրային ծառայության ապահովման անհրաժեշտությունը,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բ. ՊՄԳ ծրագիրն իրականացնելու՝ հանրային կողմի օրինական իրավասությունը,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գ. ՊՄԳ ծրագրի և տվյալ ոլորտային առկա զարգացման ծրագրերին ու ռազմավարություններին համապատասխանությունը,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դ. ՊՄԳ ծրագրի համապատասխանությունը բյուջետային կանխատեսումներին, ֆիսկալ ռիսկերին ու սահմանափակումներին,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ե. ՊՄԳ ծրագրի ֆինանսական և ֆիսկալ կայունությունը,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զ. ՊՄԳ ծրագրի՝ ՊՄԳ պետական քաղաքականությանը համապատասխանությունը,</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է. պարտավորությունների և ռիսկերի բաշխումը պետության և մասնավոր գործընկերների միջև,</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ը. փողի արժեքը` հաշվարկված առաջարկվող ծրագրի իրականացման և «պայմանական (բյուջետային) ծրագրի իրականացման համեմատությամբ»,</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թ. ՊՄԳ պայմանագրի նախագծի համապատասխանությունը ՊՄԳ պայմանագրերի բովանդակության մասին կարգի դրույթներին,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Unicode" w:eastAsia="Times New Roman" w:hAnsi="Arial Unicode" w:cs="Times New Roman"/>
          <w:color w:val="000000"/>
          <w:sz w:val="21"/>
          <w:szCs w:val="21"/>
        </w:rPr>
        <w:t>ժ. առաջարկվող պայմանագրային ժամկետը, որը չի կարող լինել ավելի կարճ, քան 5 տարին և ավելի երկար, քան 30 տարին:</w:t>
      </w:r>
    </w:p>
    <w:p w:rsidR="00D34D0B" w:rsidRPr="00D34D0B" w:rsidRDefault="00D34D0B" w:rsidP="00D34D0B">
      <w:pPr>
        <w:shd w:val="clear" w:color="auto" w:fill="FFFFFF"/>
        <w:spacing w:after="0" w:line="240" w:lineRule="auto"/>
        <w:ind w:firstLine="375"/>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D34D0B" w:rsidRPr="00D34D0B" w:rsidTr="00D34D0B">
        <w:trPr>
          <w:tblCellSpacing w:w="7" w:type="dxa"/>
        </w:trPr>
        <w:tc>
          <w:tcPr>
            <w:tcW w:w="4500" w:type="dxa"/>
            <w:shd w:val="clear" w:color="auto" w:fill="FFFFFF"/>
            <w:vAlign w:val="center"/>
            <w:hideMark/>
          </w:tcPr>
          <w:p w:rsidR="00D34D0B" w:rsidRPr="00D34D0B" w:rsidRDefault="00D34D0B" w:rsidP="00D34D0B">
            <w:pPr>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Հայաստանի Հանրապետության</w:t>
            </w:r>
          </w:p>
          <w:p w:rsidR="00D34D0B" w:rsidRPr="00D34D0B" w:rsidRDefault="00D34D0B" w:rsidP="00D34D0B">
            <w:pPr>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կառավարության աշխատակազմի</w:t>
            </w:r>
          </w:p>
          <w:p w:rsidR="00D34D0B" w:rsidRPr="00D34D0B" w:rsidRDefault="00D34D0B" w:rsidP="00D34D0B">
            <w:pPr>
              <w:spacing w:after="0" w:line="240" w:lineRule="auto"/>
              <w:ind w:firstLine="375"/>
              <w:jc w:val="center"/>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ղեկավար</w:t>
            </w:r>
          </w:p>
        </w:tc>
        <w:tc>
          <w:tcPr>
            <w:tcW w:w="0" w:type="auto"/>
            <w:shd w:val="clear" w:color="auto" w:fill="FFFFFF"/>
            <w:vAlign w:val="bottom"/>
            <w:hideMark/>
          </w:tcPr>
          <w:p w:rsidR="00D34D0B" w:rsidRPr="00D34D0B" w:rsidRDefault="00D34D0B" w:rsidP="00D34D0B">
            <w:pPr>
              <w:spacing w:after="0" w:line="240" w:lineRule="auto"/>
              <w:jc w:val="right"/>
              <w:rPr>
                <w:rFonts w:ascii="Arial Unicode" w:eastAsia="Times New Roman" w:hAnsi="Arial Unicode" w:cs="Times New Roman"/>
                <w:color w:val="000000"/>
                <w:sz w:val="21"/>
                <w:szCs w:val="21"/>
              </w:rPr>
            </w:pPr>
            <w:r w:rsidRPr="00D34D0B">
              <w:rPr>
                <w:rFonts w:ascii="Arial Unicode" w:eastAsia="Times New Roman" w:hAnsi="Arial Unicode" w:cs="Times New Roman"/>
                <w:b/>
                <w:bCs/>
                <w:color w:val="000000"/>
                <w:sz w:val="21"/>
                <w:szCs w:val="21"/>
              </w:rPr>
              <w:t>Դ. Սարգսյան</w:t>
            </w:r>
          </w:p>
        </w:tc>
      </w:tr>
    </w:tbl>
    <w:p w:rsidR="00D34D0B" w:rsidRPr="00D34D0B" w:rsidRDefault="00D34D0B" w:rsidP="00D34D0B">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D34D0B">
        <w:rPr>
          <w:rFonts w:ascii="Arial" w:eastAsia="Times New Roman" w:hAnsi="Arial" w:cs="Arial"/>
          <w:color w:val="000000"/>
          <w:sz w:val="21"/>
          <w:szCs w:val="21"/>
        </w:rPr>
        <w:t> </w:t>
      </w:r>
    </w:p>
    <w:p w:rsidR="001166D7" w:rsidRDefault="001166D7">
      <w:bookmarkStart w:id="0" w:name="_GoBack"/>
      <w:bookmarkEnd w:id="0"/>
    </w:p>
    <w:sectPr w:rsidR="00116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9F"/>
    <w:rsid w:val="001166D7"/>
    <w:rsid w:val="003E239F"/>
    <w:rsid w:val="00D3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D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D0B"/>
    <w:rPr>
      <w:b/>
      <w:bCs/>
    </w:rPr>
  </w:style>
  <w:style w:type="character" w:customStyle="1" w:styleId="apple-converted-space">
    <w:name w:val="apple-converted-space"/>
    <w:basedOn w:val="DefaultParagraphFont"/>
    <w:rsid w:val="00D34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D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D0B"/>
    <w:rPr>
      <w:b/>
      <w:bCs/>
    </w:rPr>
  </w:style>
  <w:style w:type="character" w:customStyle="1" w:styleId="apple-converted-space">
    <w:name w:val="apple-converted-space"/>
    <w:basedOn w:val="DefaultParagraphFont"/>
    <w:rsid w:val="00D3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Hovhannisyan</dc:creator>
  <cp:keywords/>
  <dc:description/>
  <cp:lastModifiedBy>Armine Hovhannisyan</cp:lastModifiedBy>
  <cp:revision>2</cp:revision>
  <dcterms:created xsi:type="dcterms:W3CDTF">2016-04-18T14:18:00Z</dcterms:created>
  <dcterms:modified xsi:type="dcterms:W3CDTF">2016-04-18T14:18:00Z</dcterms:modified>
</cp:coreProperties>
</file>