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r w:rsidRPr="00051BF3">
        <w:rPr>
          <w:rFonts w:ascii="Sylfaen" w:hAnsi="Sylfaen" w:cs="Sylfaen"/>
        </w:rPr>
        <w:t>Հայտարարության</w:t>
      </w:r>
      <w:r w:rsidRPr="00051BF3">
        <w:t xml:space="preserve"> </w:t>
      </w:r>
      <w:r w:rsidRPr="00051BF3">
        <w:rPr>
          <w:rFonts w:ascii="Sylfaen" w:hAnsi="Sylfaen" w:cs="Sylfaen"/>
        </w:rPr>
        <w:t>սույն</w:t>
      </w:r>
      <w:r w:rsidRPr="00051BF3">
        <w:t xml:space="preserve"> </w:t>
      </w:r>
      <w:r w:rsidRPr="00051BF3">
        <w:rPr>
          <w:rFonts w:ascii="Sylfaen" w:hAnsi="Sylfaen" w:cs="Sylfaen"/>
        </w:rPr>
        <w:t>տեքստը</w:t>
      </w:r>
      <w:r w:rsidRPr="00051BF3">
        <w:t xml:space="preserve"> </w:t>
      </w:r>
      <w:r w:rsidRPr="00051BF3">
        <w:rPr>
          <w:rFonts w:ascii="Sylfaen" w:hAnsi="Sylfaen" w:cs="Sylfaen"/>
        </w:rPr>
        <w:t>հաստատված</w:t>
      </w:r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r w:rsidRPr="00051BF3">
        <w:rPr>
          <w:rFonts w:ascii="Sylfaen" w:hAnsi="Sylfaen" w:cs="Sylfaen"/>
        </w:rPr>
        <w:t>գնահատող</w:t>
      </w:r>
      <w:r w:rsidRPr="00051BF3">
        <w:t xml:space="preserve"> </w:t>
      </w:r>
      <w:r w:rsidRPr="00051BF3">
        <w:rPr>
          <w:rFonts w:ascii="Sylfaen" w:hAnsi="Sylfaen" w:cs="Sylfaen"/>
        </w:rPr>
        <w:t>հանձնաժողովի</w:t>
      </w:r>
    </w:p>
    <w:p w:rsidR="00051BF3" w:rsidRPr="00051BF3" w:rsidRDefault="00051BF3" w:rsidP="00051BF3">
      <w:pPr>
        <w:spacing w:after="0"/>
        <w:jc w:val="center"/>
      </w:pPr>
      <w:r w:rsidRPr="00051BF3">
        <w:t>201</w:t>
      </w:r>
      <w:r w:rsidR="006C2E6A" w:rsidRPr="006C2E6A">
        <w:t>6</w:t>
      </w:r>
      <w:r w:rsidRPr="00051BF3">
        <w:t xml:space="preserve"> </w:t>
      </w:r>
      <w:r w:rsidRPr="00051BF3">
        <w:rPr>
          <w:rFonts w:ascii="Sylfaen" w:hAnsi="Sylfaen" w:cs="Sylfaen"/>
        </w:rPr>
        <w:t>թվականի</w:t>
      </w:r>
      <w:r w:rsidRPr="00051BF3">
        <w:t xml:space="preserve"> </w:t>
      </w:r>
      <w:r w:rsidR="006C2E6A">
        <w:rPr>
          <w:rFonts w:ascii="Sylfaen" w:hAnsi="Sylfaen"/>
          <w:lang w:val="en-US"/>
        </w:rPr>
        <w:t>հուլիս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r w:rsidR="006C2E6A" w:rsidRPr="006C2E6A">
        <w:t>11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r w:rsidRPr="00051BF3">
        <w:rPr>
          <w:rFonts w:ascii="Sylfaen" w:hAnsi="Sylfaen" w:cs="Sylfaen"/>
        </w:rPr>
        <w:t>թիվ</w:t>
      </w:r>
      <w:r w:rsidRPr="00051BF3">
        <w:t xml:space="preserve"> </w:t>
      </w:r>
      <w:r w:rsidR="0025722E" w:rsidRPr="0025722E">
        <w:t>2</w:t>
      </w:r>
      <w:r w:rsidRPr="00051BF3">
        <w:t xml:space="preserve"> </w:t>
      </w:r>
      <w:r w:rsidRPr="00051BF3">
        <w:rPr>
          <w:rFonts w:ascii="Sylfaen" w:hAnsi="Sylfaen" w:cs="Sylfaen"/>
        </w:rPr>
        <w:t>որոշմամբ</w:t>
      </w:r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r w:rsidRPr="00051BF3">
        <w:rPr>
          <w:rFonts w:ascii="Sylfaen" w:hAnsi="Sylfaen" w:cs="Sylfaen"/>
        </w:rPr>
        <w:t>հրապարակվում</w:t>
      </w:r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r w:rsidRPr="00051BF3">
        <w:rPr>
          <w:rFonts w:ascii="Sylfaen" w:hAnsi="Sylfaen" w:cs="Sylfaen"/>
        </w:rPr>
        <w:t>Գնումների</w:t>
      </w:r>
      <w:r w:rsidRPr="00051BF3">
        <w:t xml:space="preserve"> </w:t>
      </w:r>
      <w:r w:rsidRPr="00051BF3">
        <w:rPr>
          <w:rFonts w:ascii="Sylfaen" w:hAnsi="Sylfaen" w:cs="Sylfaen"/>
        </w:rPr>
        <w:t>մասին</w:t>
      </w:r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r w:rsidRPr="00051BF3">
        <w:rPr>
          <w:rFonts w:ascii="Sylfaen" w:hAnsi="Sylfaen" w:cs="Sylfaen"/>
        </w:rPr>
        <w:t>օրենքի</w:t>
      </w:r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r w:rsidRPr="00051BF3">
        <w:rPr>
          <w:rFonts w:ascii="Sylfaen" w:hAnsi="Sylfaen" w:cs="Sylfaen"/>
        </w:rPr>
        <w:t>հոդվածի</w:t>
      </w:r>
      <w:r w:rsidRPr="00051BF3">
        <w:t xml:space="preserve"> </w:t>
      </w:r>
      <w:r w:rsidRPr="00051BF3">
        <w:rPr>
          <w:rFonts w:ascii="Sylfaen" w:hAnsi="Sylfaen" w:cs="Sylfaen"/>
        </w:rPr>
        <w:t>համաձայն</w:t>
      </w:r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6C2E6A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5</w:t>
      </w:r>
      <w:r w:rsidR="00B3593A" w:rsidRPr="00D06020">
        <w:rPr>
          <w:b/>
        </w:rPr>
        <w:t>/</w:t>
      </w:r>
      <w:r w:rsidR="002A407D" w:rsidRPr="002A407D">
        <w:rPr>
          <w:b/>
        </w:rPr>
        <w:t>4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4F40C8" w:rsidRPr="004F40C8">
        <w:rPr>
          <w:b/>
        </w:rPr>
        <w:t>6</w:t>
      </w:r>
      <w:r w:rsidR="007D7F56" w:rsidRPr="007D7F56">
        <w:rPr>
          <w:b/>
        </w:rPr>
        <w:t>/</w:t>
      </w:r>
      <w:r w:rsidR="006C2E6A" w:rsidRPr="006C2E6A">
        <w:rPr>
          <w:b/>
        </w:rPr>
        <w:t>3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gramStart"/>
      <w:r w:rsidRPr="00051BF3">
        <w:rPr>
          <w:rFonts w:ascii="Sylfaen" w:hAnsi="Sylfaen" w:cs="Sylfaen"/>
        </w:rPr>
        <w:t>Պատվիրատուն</w:t>
      </w:r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r w:rsidR="00B3593A">
        <w:rPr>
          <w:rFonts w:ascii="Sylfaen" w:hAnsi="Sylfaen" w:cs="Sylfaen"/>
        </w:rPr>
        <w:t>Վեդու</w:t>
      </w:r>
      <w:r w:rsidR="00B3593A" w:rsidRPr="00D06020">
        <w:rPr>
          <w:rFonts w:ascii="Sylfaen" w:hAnsi="Sylfaen" w:cs="Sylfaen"/>
        </w:rPr>
        <w:t xml:space="preserve"> </w:t>
      </w:r>
      <w:r w:rsidR="00B3593A">
        <w:rPr>
          <w:rFonts w:ascii="Sylfaen" w:hAnsi="Sylfaen" w:cs="Sylfaen"/>
        </w:rPr>
        <w:t>Բժշկական</w:t>
      </w:r>
      <w:r w:rsidR="00B3593A" w:rsidRPr="00D06020">
        <w:rPr>
          <w:rFonts w:ascii="Sylfaen" w:hAnsi="Sylfaen" w:cs="Sylfaen"/>
        </w:rPr>
        <w:t xml:space="preserve"> </w:t>
      </w:r>
      <w:r w:rsidR="00B3593A">
        <w:rPr>
          <w:rFonts w:ascii="Sylfaen" w:hAnsi="Sylfaen" w:cs="Sylfaen"/>
        </w:rPr>
        <w:t>կենտրոն</w:t>
      </w:r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r w:rsidRPr="00051BF3">
        <w:rPr>
          <w:rFonts w:ascii="Sylfaen" w:hAnsi="Sylfaen" w:cs="Sylfaen"/>
        </w:rPr>
        <w:t>որը</w:t>
      </w:r>
      <w:r w:rsidRPr="00D06020">
        <w:t xml:space="preserve"> </w:t>
      </w:r>
      <w:r w:rsidRPr="00051BF3">
        <w:rPr>
          <w:rFonts w:ascii="Sylfaen" w:hAnsi="Sylfaen" w:cs="Sylfaen"/>
        </w:rPr>
        <w:t>գտնվում</w:t>
      </w:r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r w:rsidR="00B3593A">
        <w:rPr>
          <w:rFonts w:ascii="Sylfaen" w:hAnsi="Sylfaen"/>
        </w:rPr>
        <w:t>Վեդի</w:t>
      </w:r>
      <w:r w:rsidR="00B3593A" w:rsidRPr="00D06020">
        <w:rPr>
          <w:rFonts w:ascii="Sylfaen" w:hAnsi="Sylfaen"/>
        </w:rPr>
        <w:t xml:space="preserve">, </w:t>
      </w:r>
      <w:r w:rsidR="00B3593A">
        <w:rPr>
          <w:rFonts w:ascii="Sylfaen" w:hAnsi="Sylfaen"/>
        </w:rPr>
        <w:t>Գայի</w:t>
      </w:r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r w:rsidRPr="00D06020">
        <w:t xml:space="preserve"> </w:t>
      </w:r>
      <w:r w:rsidRPr="00051BF3">
        <w:rPr>
          <w:rFonts w:ascii="Sylfaen" w:hAnsi="Sylfaen" w:cs="Sylfaen"/>
        </w:rPr>
        <w:t>ներկայացնում</w:t>
      </w:r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</w:t>
      </w:r>
      <w:r w:rsidR="004F40C8" w:rsidRPr="004F40C8">
        <w:t>5</w:t>
      </w:r>
      <w:r w:rsidRPr="00D06020">
        <w:t>/</w:t>
      </w:r>
      <w:r w:rsidR="002A407D" w:rsidRPr="002A407D">
        <w:t>4</w:t>
      </w:r>
      <w:r w:rsidR="00B3593A" w:rsidRPr="00D06020">
        <w:t>-1</w:t>
      </w:r>
      <w:r w:rsidR="004F40C8" w:rsidRPr="004F40C8">
        <w:t>6</w:t>
      </w:r>
      <w:r w:rsidR="002A407D" w:rsidRPr="002A407D">
        <w:t>/</w:t>
      </w:r>
      <w:r w:rsidR="006C2E6A" w:rsidRPr="006C2E6A">
        <w:t>3</w:t>
      </w:r>
      <w:r w:rsidRPr="00D06020">
        <w:t xml:space="preserve"> </w:t>
      </w:r>
      <w:r w:rsidRPr="00051BF3">
        <w:rPr>
          <w:rFonts w:ascii="Sylfaen" w:hAnsi="Sylfaen" w:cs="Sylfaen"/>
        </w:rPr>
        <w:t>ծածկագրով</w:t>
      </w:r>
      <w:r w:rsidRPr="00D06020">
        <w:t xml:space="preserve"> </w:t>
      </w:r>
      <w:r w:rsidRPr="00051BF3">
        <w:rPr>
          <w:rFonts w:ascii="Sylfaen" w:hAnsi="Sylfaen" w:cs="Sylfaen"/>
        </w:rPr>
        <w:t>գնման</w:t>
      </w:r>
      <w:r w:rsidRPr="00D06020">
        <w:t xml:space="preserve"> </w:t>
      </w:r>
      <w:r w:rsidRPr="00051BF3">
        <w:rPr>
          <w:rFonts w:ascii="Sylfaen" w:hAnsi="Sylfaen" w:cs="Sylfaen"/>
        </w:rPr>
        <w:t>ընթացակարգի</w:t>
      </w:r>
      <w:r w:rsidRPr="00D06020">
        <w:t xml:space="preserve"> </w:t>
      </w:r>
      <w:r w:rsidR="006C2E6A" w:rsidRPr="0039547A">
        <w:t>1, 5, 7-11, 13-14, 18, 20-30, 32-34, 38, 42, 44-45, 48-49, 51, 53-58, 60-62, 64-67, 69, 72-73, 74, 77, 79, 81-86, 88, 90, 94-96, 98-103, 107-109, 113-115, 117-119, 121-130, 133, 135, 137-143, 146, 149, 151, 153-155, 158-160, 162, 165-179, 181, 183-189, 192-206, 209-213, 215, 217, 220-222, 225-232, 235, 237-249, 252-253, 255-256</w:t>
      </w:r>
      <w:r w:rsidR="007D7F56" w:rsidRPr="007D7F56">
        <w:rPr>
          <w:rFonts w:ascii="Sylfaen" w:hAnsi="Sylfaen" w:cs="Sylfaen"/>
        </w:rPr>
        <w:t>-</w:t>
      </w:r>
      <w:r w:rsidR="007D7F56">
        <w:rPr>
          <w:rFonts w:ascii="Sylfaen" w:hAnsi="Sylfaen" w:cs="Sylfaen"/>
          <w:lang w:val="en-US"/>
        </w:rPr>
        <w:t>րդ</w:t>
      </w:r>
      <w:r w:rsidRPr="00D06020">
        <w:rPr>
          <w:rFonts w:ascii="Sylfaen" w:hAnsi="Sylfaen" w:cs="Sylfaen"/>
        </w:rPr>
        <w:t xml:space="preserve"> </w:t>
      </w:r>
      <w:r w:rsidRPr="00051BF3">
        <w:rPr>
          <w:rFonts w:ascii="Sylfaen" w:hAnsi="Sylfaen" w:cs="Sylfaen"/>
        </w:rPr>
        <w:t>չափաբաժինները</w:t>
      </w:r>
      <w:r w:rsidRPr="00D06020">
        <w:t xml:space="preserve"> </w:t>
      </w:r>
      <w:r w:rsidRPr="00051BF3">
        <w:rPr>
          <w:rFonts w:ascii="Sylfaen" w:hAnsi="Sylfaen" w:cs="Sylfaen"/>
        </w:rPr>
        <w:t>չկայացած</w:t>
      </w:r>
      <w:r w:rsidRPr="00D06020">
        <w:t xml:space="preserve"> </w:t>
      </w:r>
      <w:r w:rsidRPr="00051BF3">
        <w:rPr>
          <w:rFonts w:ascii="Sylfaen" w:hAnsi="Sylfaen" w:cs="Sylfaen"/>
        </w:rPr>
        <w:t>հայտարարելու</w:t>
      </w:r>
      <w:r w:rsidRPr="00D06020">
        <w:t xml:space="preserve"> </w:t>
      </w:r>
      <w:r w:rsidRPr="00051BF3">
        <w:rPr>
          <w:rFonts w:ascii="Sylfaen" w:hAnsi="Sylfaen" w:cs="Sylfaen"/>
        </w:rPr>
        <w:t>մասին</w:t>
      </w:r>
      <w:r w:rsidRPr="00D06020">
        <w:t xml:space="preserve"> </w:t>
      </w:r>
      <w:r w:rsidRPr="00051BF3">
        <w:rPr>
          <w:rFonts w:ascii="Sylfaen" w:hAnsi="Sylfaen" w:cs="Sylfaen"/>
        </w:rPr>
        <w:t>համառոտ</w:t>
      </w:r>
      <w:r w:rsidRPr="00D06020">
        <w:t xml:space="preserve"> </w:t>
      </w:r>
      <w:r w:rsidRPr="00051BF3">
        <w:rPr>
          <w:rFonts w:ascii="Sylfaen" w:hAnsi="Sylfaen" w:cs="Sylfaen"/>
        </w:rPr>
        <w:t>տեղեկատվությունը։</w:t>
      </w:r>
      <w:proofErr w:type="gramEnd"/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2268"/>
        <w:gridCol w:w="1984"/>
      </w:tblGrid>
      <w:tr w:rsidR="008D2CCB" w:rsidTr="00492BD3">
        <w:tc>
          <w:tcPr>
            <w:tcW w:w="709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</w:p>
        </w:tc>
        <w:tc>
          <w:tcPr>
            <w:tcW w:w="354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</w:p>
        </w:tc>
        <w:tc>
          <w:tcPr>
            <w:tcW w:w="1843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98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</w:p>
        </w:tc>
      </w:tr>
      <w:tr w:rsidR="00492BD3" w:rsidRPr="006C2E6A" w:rsidTr="00492BD3">
        <w:tc>
          <w:tcPr>
            <w:tcW w:w="709" w:type="dxa"/>
            <w:vAlign w:val="center"/>
          </w:tcPr>
          <w:p w:rsidR="00492BD3" w:rsidRPr="00A94B53" w:rsidRDefault="00492BD3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492BD3" w:rsidRDefault="00492BD3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էպինեֆրինի հիդրոքլորիդի  0,18% 1,0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492BD3" w:rsidRPr="004F40C8" w:rsidRDefault="00492BD3">
            <w:pPr>
              <w:jc w:val="center"/>
              <w:rPr>
                <w:rFonts w:ascii="Arial LatArm" w:hAnsi="Arial LatArm" w:cs="Calibri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92BD3" w:rsidRPr="0051546E" w:rsidRDefault="00492BD3" w:rsidP="00492BD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492BD3" w:rsidRPr="006C2E6A" w:rsidTr="00492BD3">
        <w:tc>
          <w:tcPr>
            <w:tcW w:w="709" w:type="dxa"/>
            <w:vAlign w:val="center"/>
          </w:tcPr>
          <w:p w:rsidR="00492BD3" w:rsidRPr="00A94B53" w:rsidRDefault="00492BD3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:rsidR="00492BD3" w:rsidRPr="003D49CA" w:rsidRDefault="00492BD3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սուլֆացետամիդ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492BD3" w:rsidRPr="004F40C8" w:rsidRDefault="00492BD3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92BD3" w:rsidRPr="0051546E" w:rsidRDefault="00492BD3" w:rsidP="00492BD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492BD3" w:rsidRPr="006C2E6A" w:rsidTr="00492BD3">
        <w:tc>
          <w:tcPr>
            <w:tcW w:w="709" w:type="dxa"/>
            <w:vAlign w:val="center"/>
          </w:tcPr>
          <w:p w:rsidR="00492BD3" w:rsidRPr="00A94B53" w:rsidRDefault="00492BD3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:rsidR="00492BD3" w:rsidRDefault="00492BD3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ածուխ ակտիվացված սպիտակ 250մգ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492BD3" w:rsidRPr="0039547A" w:rsidRDefault="00492BD3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92BD3" w:rsidRPr="0051546E" w:rsidRDefault="00492BD3" w:rsidP="00492BD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492BD3" w:rsidRPr="006C2E6A" w:rsidTr="00492BD3">
        <w:tc>
          <w:tcPr>
            <w:tcW w:w="709" w:type="dxa"/>
            <w:vAlign w:val="center"/>
          </w:tcPr>
          <w:p w:rsidR="00492BD3" w:rsidRPr="00A94B53" w:rsidRDefault="00492BD3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:rsidR="00492BD3" w:rsidRPr="003D49CA" w:rsidRDefault="00492BD3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հորթի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արյան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սպիտակուցազերծ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ածանցյալ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492BD3" w:rsidRPr="00492BD3" w:rsidRDefault="00492BD3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92BD3" w:rsidRPr="0051546E" w:rsidRDefault="00492BD3" w:rsidP="00492BD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492BD3" w:rsidRPr="000271FB" w:rsidRDefault="00492BD3" w:rsidP="00492BD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ֆուրոսեմիդ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ամիլորիդ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ամիլորիդի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ամինոկապրոնաթթու  5%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ամիոդարոն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ամիոդարոնի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5% 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պերինդոպրիլ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ամլոդիպին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4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ամպիցիլին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ամպիցիլին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1000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50%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պրոպրանոլոլ 10մգ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պրոպրանոլոլ 40մգ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ամօքսիցիլին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ամօքսիցիլինի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տրիհիդրատ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քլավուլանաթթու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քլավուլանատ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200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+ 28,5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70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ասկորբինաթթու 5% 5մլ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ացետիլսալիցիլա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պարացետամոլ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կոֆեին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հիդրօքսիզին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հիդրօքսիզինի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 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ատենոլոլ 50մգ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ատորվաստատին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ատորվաստատինի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կալցիումական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աղ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40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ատրոպին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ատրոպինի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0,1%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պիպեկուրոնիումի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բրոմիդ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ացետիլսալիցիլաթթու   0,5գ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լիոֆիլիզացված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բակտերիաներ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լակտոբացիլուս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ռամնոզուս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GG4*10,9 </w:t>
            </w:r>
            <w:r>
              <w:rPr>
                <w:rFonts w:ascii="GHEA Grapalat" w:hAnsi="GHEA Grapalat" w:cs="Calibri"/>
                <w:sz w:val="16"/>
                <w:szCs w:val="16"/>
              </w:rPr>
              <w:t>սաշե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համար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D3 20000</w:t>
            </w:r>
            <w:r>
              <w:rPr>
                <w:rFonts w:ascii="GHEA Grapalat" w:hAnsi="GHEA Grapalat" w:cs="Calibri"/>
                <w:sz w:val="16"/>
                <w:szCs w:val="16"/>
              </w:rPr>
              <w:t>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+ 10000</w:t>
            </w:r>
            <w:r>
              <w:rPr>
                <w:rFonts w:ascii="GHEA Grapalat" w:hAnsi="GHEA Grapalat" w:cs="Calibri"/>
                <w:sz w:val="16"/>
                <w:szCs w:val="16"/>
              </w:rPr>
              <w:t>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մետամիզոլի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նատրիումական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մոնոհիդրատ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պիտոֆենոն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պիտոֆենոնի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ֆենպիվերինիում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ֆենպիվերինիումի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բրոմիդ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A94B5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38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բիսակոդիլ 10մգ  մոմիկ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Վիտամիններ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` A-625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ՄՄ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, B5-1,25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, B9-50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, B12-1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, C-12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, D2-50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ՄՄ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միներալ</w:t>
            </w:r>
            <w:r w:rsidRPr="003D49CA">
              <w:rPr>
                <w:rFonts w:ascii="GHEA Grapalat" w:hAnsi="GHEA Grapalat" w:cs="Calibri"/>
                <w:color w:val="333333"/>
                <w:sz w:val="16"/>
                <w:szCs w:val="16"/>
                <w:lang w:val="af-ZA"/>
              </w:rPr>
              <w:t>)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44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գլիցերոլ  1գ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color w:val="333333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333333"/>
                <w:sz w:val="16"/>
                <w:szCs w:val="16"/>
              </w:rPr>
              <w:t>45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դեքստրոզ   10% 200մլ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48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ինոզին պրանոբեքս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վալպրոաթթու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վալպրոատի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300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դեքսամեթազոն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գլիկլազիդ 30մգ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54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դիազեպամ 5մգ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դիազեպամ 10մգ/2մլ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մեբհիդրոլին mebhydrolin 50մգ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57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բենդազոլ  1% 5մլ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o</w:t>
            </w:r>
            <w:r>
              <w:rPr>
                <w:rFonts w:ascii="GHEA Grapalat" w:hAnsi="GHEA Grapalat" w:cs="Calibri"/>
                <w:sz w:val="16"/>
                <w:szCs w:val="16"/>
              </w:rPr>
              <w:t>քսին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12,5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դիկլոֆենակի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դիէթիլամին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5% 50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դիկլոֆենակ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proofErr w:type="gramEnd"/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դիֆենհիդրամին   50մգ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67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դիֆենհիդրամին 1% 1մլ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69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էտամզիլատ    250մգ 2մլ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դօքսիցիկլին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դօքսիցիկլինի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հիկլատ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0,1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73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ամլոդիպին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ամլոդիպինի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բեզիլատ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լիզինոպրիլ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լիզինոպրիլի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ամինոֆիլին   2,4% 5մլ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էսենցիալ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ֆոսֆոլիպիդներ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թիամին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թիամինի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մոնոնիտրատ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ռիբոֆլավին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ցիանոկոբալամին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նիկոտինամիդ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ալֆա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տոկոֆերոլի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ացետատ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թիոպենտալ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թիոպենտալ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0,5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81</w:t>
            </w:r>
          </w:p>
        </w:tc>
        <w:tc>
          <w:tcPr>
            <w:tcW w:w="3544" w:type="dxa"/>
            <w:vAlign w:val="center"/>
          </w:tcPr>
          <w:p w:rsidR="006447B9" w:rsidRPr="009424A5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իբուպրոֆեն  200մգ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իբուպրոֆեն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իզոսորբիդի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դինիտրատ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84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ինդապամիդ  1,5մգ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ինդոմետացին   10%, 40գ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պրոբիոտիկ   200մգ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լակտուլոզ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3.35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քլորամֆենիկոլ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մեթիլուրացիլ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լիդոկային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4,8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դեղաչափ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38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տարայում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դեղաչափիչ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մխոցով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95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հիդրոկորտիզոն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հիդրոկորտիզոնի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բուտիրատ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1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30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լորազեպամ   1մգ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4% 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կետամին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կետամինի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գլյուկոնատ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գլյուկոնատ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10%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10%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-400,0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-155,0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Ցինկ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-8,5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D3-2,0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107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կատվախոտի հանուկ    20մգ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108</w:t>
            </w:r>
          </w:p>
        </w:tc>
        <w:tc>
          <w:tcPr>
            <w:tcW w:w="3544" w:type="dxa"/>
            <w:vAlign w:val="center"/>
          </w:tcPr>
          <w:p w:rsidR="006447B9" w:rsidRPr="009424A5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իզոսորբիդի դինիտրատ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մելդոնիում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տրիմեթիլհիդրազին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պրոպիոնատի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կոլխիցին  1մգ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դինատրիումի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ադենոզին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տրիֆոսֆատի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տրիհիդրատ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կոկարբօքսիլազ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ցիանոկոբալամին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նիկոտինամիդ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+500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ամպուլներ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ամպուլներ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լուծչով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բիսոպրոլոլ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բիսոպրոլոլի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հեմիֆումարատ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117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նիկեթամիդ 25% 2մլ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ալֆա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բրոմիզովալերաթթվի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էթիլ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էսթեր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ֆենոբարբիտալ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անանուխի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յուղ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25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119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կոֆեին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բենզոատ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10%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պոլիվինիլպիրոլիդոն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հիդրոկարբոնատ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հեպարին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5000</w:t>
            </w:r>
            <w:r>
              <w:rPr>
                <w:rFonts w:ascii="GHEA Grapalat" w:hAnsi="GHEA Grapalat" w:cs="Calibri"/>
                <w:sz w:val="16"/>
                <w:szCs w:val="16"/>
              </w:rPr>
              <w:t>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հեպարին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հեպարին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բենզոկային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բենզիլ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նիկոտինատ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124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ադեմետիոնին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բաղեղի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տերևների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չոր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հանուկ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ջղախոտ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նշտարաձևի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ջրային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հեղուկ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հանուկ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փիփերտ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անտառայինի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ծաղիկների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ջրային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հեղուկ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հանուկ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ասկորբինաթթու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250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bookmarkStart w:id="0" w:name="_GoBack"/>
            <w:bookmarkEnd w:id="0"/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128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մանիտոլ      10% 400մլ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Բետա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Բիոֆլավանոիդներ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C-25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Zn-4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A-120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B1-0,5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B2-0,8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B3-9,0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B5-3,0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B6-0,7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B12-0,7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D3-1,5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E-5,0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Բիոտին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-20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Ֆոլաթթու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-50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Յոդ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-70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PABA-50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մասուրի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մզվածք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Լիզին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ֆենիլէֆրին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ֆենիլէֆրինի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133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մետրոնիդազոլ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էթիլմեթիլհիդրօքսիպի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րիդինի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սուկցինատ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միդազոլամ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3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տոլպերիզոնի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150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139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տոլպերիզոն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տոլպերիզոնի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լիդոկային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լիդոկայինի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ֆլուֆենազին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ֆլուֆենազինի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դեկանոատ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մորֆին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մորֆինի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142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սինբիոտիկ (պրոբիոտիկ+պրեբիոտիկ)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մօքսիֆլօքսացին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մօքսիֆլօքսացինի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թիոսուլֆատ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30%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149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թիամինի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ցիանոկոբալամին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նիմոդիպին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153</w:t>
            </w:r>
          </w:p>
        </w:tc>
        <w:tc>
          <w:tcPr>
            <w:tcW w:w="3544" w:type="dxa"/>
            <w:vAlign w:val="center"/>
          </w:tcPr>
          <w:p w:rsidR="006447B9" w:rsidRPr="009424A5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նիտրոգլիցերին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154</w:t>
            </w:r>
          </w:p>
        </w:tc>
        <w:tc>
          <w:tcPr>
            <w:tcW w:w="3544" w:type="dxa"/>
            <w:vAlign w:val="center"/>
          </w:tcPr>
          <w:p w:rsidR="006447B9" w:rsidRPr="009424A5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գլիցերիլի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եռնիտրատ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155</w:t>
            </w:r>
          </w:p>
        </w:tc>
        <w:tc>
          <w:tcPr>
            <w:tcW w:w="3544" w:type="dxa"/>
            <w:vAlign w:val="center"/>
          </w:tcPr>
          <w:p w:rsidR="006447B9" w:rsidRPr="009424A5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նիֆեդիպին  10մգ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պրոկային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պրոկայինի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0,5% 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տետրահիդրատ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հեմիհիդրատ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400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+ 452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  10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տետրահիդրատ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ասպարտատի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հեմիհիդրատ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պապավերինի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2% (2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), 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 800մգ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պիրացետամ 20% 5մլ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պիրիդօքսինի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պլատիֆիլինի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հիդրոտարտրատ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0,2%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70)    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70)   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171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նեոստիգմին 0,05% 1մլ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տրիմեպերիդին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տրիմեպերիդինի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 xml:space="preserve">Ոչ մի հայտ չի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173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ցիտրատ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գլյուկոզ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330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կարբոնատ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կարբոնատ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680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+80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40)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դեքստրան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40) 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Calibri"/>
                <w:sz w:val="16"/>
                <w:szCs w:val="16"/>
              </w:rPr>
              <w:t>փաթեթ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տրիմետազիդին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տրիմետազիդինի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250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սալբուտամոլ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100</w:t>
            </w:r>
            <w:r>
              <w:rPr>
                <w:rFonts w:ascii="GHEA Grapalat" w:hAnsi="GHEA Grapalat" w:cs="Calibri"/>
                <w:sz w:val="16"/>
                <w:szCs w:val="16"/>
              </w:rPr>
              <w:t>մկգ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դեղաչափ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սենոզիդներ A, B 70մգ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ֆլուոցինոլոն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ացետոնիդ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0,025% 15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քլորամֆենիկոլ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0,1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25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ամպիցիլին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ամպիցիլին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սուլբակտամ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սուլբակտամ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1000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+500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սուլֆամեթօքսազոլ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տրիմեթոպրիմ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188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քլորոպիրամին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քլորոպիրամինի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 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մետամիզոլ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պիտոֆենոն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պիտոֆենոնի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ֆենպիվերինիում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բրոմիդ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պերինդոպրիլ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պերինդոպրիլի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տերտ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բուտիլամին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4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ստրեպտոմիցին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ստրեպտոմիցինի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ստրոֆանթին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0,25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BD6235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D6235">
              <w:rPr>
                <w:rFonts w:ascii="GHEA Grapalat" w:hAnsi="GHEA Grapalat" w:cs="Calibri"/>
                <w:sz w:val="16"/>
                <w:szCs w:val="16"/>
              </w:rPr>
              <w:t>195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մենթոլ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իզովալերաթթվի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մենթիլ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էսթեր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60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BD6235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D6235">
              <w:rPr>
                <w:rFonts w:ascii="GHEA Grapalat" w:hAnsi="GHEA Grapalat" w:cs="Calibri"/>
                <w:sz w:val="16"/>
                <w:szCs w:val="16"/>
              </w:rPr>
              <w:t>196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ֆենոբարբիտալ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էթիլբրոմիզովալերիա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նաթթու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20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կատվախոտի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պղպեղային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անանուխի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պատրինջի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չոր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հանուկներ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վարֆարին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վարֆարին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3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199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ձյութ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քսերոֆորմ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40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թիամինի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ռիբոֆլավին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ռիբոֆլավինի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նատրիումական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ֆոսֆատ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պիրիդօքսինի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նիկոտինամիդ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201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ասկորբինաթթու    500մգ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A,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D3,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E,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C,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B1,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B2,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B6,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նիկոտինամիդ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B12, </w:t>
            </w:r>
            <w:r>
              <w:rPr>
                <w:rFonts w:ascii="GHEA Grapalat" w:hAnsi="GHEA Grapalat" w:cs="Calibri"/>
                <w:sz w:val="16"/>
                <w:szCs w:val="16"/>
              </w:rPr>
              <w:t>ֆոլաթթու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բիոտին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պանտոթենատ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վիտամին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K1, 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դիկալցիումի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ֆոսֆատ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մագնեզիումի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օքսիդ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երկաթ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երկաթի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ֆումարատ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պղինձ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պղնձի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օքսիդ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ցինկ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ցինկի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օքսիդ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քրոմ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քրոմի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մանգան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մանգանի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անագ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անագի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նիկել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նիկելի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սուլֆատ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սիլիցիում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մետասիլիկատ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վանադիում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մետավանադատ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ֆոսֆոր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կալցիումի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հիդրոֆոսֆատ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մոլիբդեն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մոլիբդատ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սելեն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սելենատ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յոդ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յոդիդ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203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օմեգա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-3 </w:t>
            </w:r>
            <w:r>
              <w:rPr>
                <w:rFonts w:ascii="GHEA Grapalat" w:hAnsi="GHEA Grapalat" w:cs="Calibri"/>
                <w:sz w:val="16"/>
                <w:szCs w:val="16"/>
              </w:rPr>
              <w:t>թթվի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էթիլ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Էսթերներ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60, </w:t>
            </w:r>
            <w:r>
              <w:rPr>
                <w:rFonts w:ascii="GHEA Grapalat" w:hAnsi="GHEA Grapalat" w:cs="Calibri"/>
                <w:sz w:val="16"/>
                <w:szCs w:val="16"/>
              </w:rPr>
              <w:t>էյկոզապենտենոյաթթու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դոկոզահեքսենոյաթթու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Calibri"/>
                <w:sz w:val="16"/>
                <w:szCs w:val="16"/>
              </w:rPr>
              <w:t>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sz w:val="16"/>
                <w:szCs w:val="16"/>
              </w:rPr>
              <w:t>ալֆա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տոկոֆերոլ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204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տամօքսիֆենի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ցիտրատ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20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205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տաուրին 250մգ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տաուրին 4% 10մլ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տետրացիկլին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,15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տետրացիկլին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տետրացիկլինի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 3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տոբրամիցին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դեքսամեթազոն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+1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տոբրամիցին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դեքսամեթազոն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3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+1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3,5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տորասեմիդ 5մգ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տրամադոլ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տրամադոլի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տրիմետազիդին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տրիմետազիդինի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դիհիդրոքլորիդ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</w:t>
            </w:r>
            <w:r>
              <w:rPr>
                <w:rFonts w:ascii="GHEA Grapalat" w:hAnsi="GHEA Grapalat" w:cs="Calibri"/>
                <w:sz w:val="16"/>
                <w:szCs w:val="16"/>
              </w:rPr>
              <w:t>մոմիկներ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ուղիղաղիքային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221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մոմիկներ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ուղիղաղիքային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պարացետամոլ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80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sz w:val="16"/>
                <w:szCs w:val="16"/>
              </w:rPr>
              <w:t>մոմիկներ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ուղիղաղիքային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պեպտիդներ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խոզի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գլխուղեղից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215,2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), 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մետոկլոպրամիդ  10մգ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մետոկլոպրամիդ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մետոկլոպրամիդի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մոնոհիդրատ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228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ասկորբինաթթու  10մլ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ցեֆազոլինի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230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ցեֆոտաքսիմ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ցեֆոտաքսիմ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1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առանց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լուծիչի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231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                                                                                           </w:t>
            </w:r>
            <w:r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ներարկման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1000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ապակե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սրվակ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3,5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լուծիչ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ամպուլում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232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ցիանոկոբալամին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0,5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1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պիրացետամ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ցինարիզին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(0,4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+0,025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հիդրօքսիէթիլ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օսլա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6% 500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238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վինկամին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239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թիմոլոլի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մալեատ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240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ֆենազեպամ 1մգ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241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ֆենինդիոն  0,03գ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242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ֆենոբարբիտալ    0,1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243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ֆենսպիրիդ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հիդրոքլորիդ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2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150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244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ֆենտանիլ  0,005%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պանկրեատին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լիպազ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6000</w:t>
            </w:r>
            <w:r>
              <w:rPr>
                <w:rFonts w:ascii="GHEA Grapalat" w:hAnsi="GHEA Grapalat" w:cs="Calibri"/>
                <w:sz w:val="16"/>
                <w:szCs w:val="16"/>
              </w:rPr>
              <w:t>ՄԴՄՄ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ամիլազ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4500</w:t>
            </w:r>
            <w:r>
              <w:rPr>
                <w:rFonts w:ascii="GHEA Grapalat" w:hAnsi="GHEA Grapalat" w:cs="Calibri"/>
                <w:sz w:val="16"/>
                <w:szCs w:val="16"/>
              </w:rPr>
              <w:t>ՄԴՄՄ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պրոտեազ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300</w:t>
            </w:r>
            <w:r>
              <w:rPr>
                <w:rFonts w:ascii="GHEA Grapalat" w:hAnsi="GHEA Grapalat" w:cs="Calibri"/>
                <w:sz w:val="16"/>
                <w:szCs w:val="16"/>
              </w:rPr>
              <w:t>ՄԴՄՄ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հեմիցելյուլոզ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լեղու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բաղադրամասեր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246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երկաթի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(III) </w:t>
            </w:r>
            <w:r>
              <w:rPr>
                <w:rFonts w:ascii="GHEA Grapalat" w:hAnsi="GHEA Grapalat" w:cs="Calibri"/>
                <w:sz w:val="16"/>
                <w:szCs w:val="16"/>
              </w:rPr>
              <w:t>հիդրօքսիդի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և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պոլիմալտոզի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համալիր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30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247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նոնիվամիդ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sz w:val="16"/>
                <w:szCs w:val="16"/>
              </w:rPr>
              <w:t>նիկոբօքսիլ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4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20</w:t>
            </w:r>
            <w:r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92BD3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248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ամօքսիցիլին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ամօքսիցիլինի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տրիհիդրատ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քլավուլանաթթու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կալիումի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քլավուլանատ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250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+62,5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249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ամօքսիցիլին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hAnsi="GHEA Grapalat" w:cs="Calibri"/>
                <w:sz w:val="16"/>
                <w:szCs w:val="16"/>
              </w:rPr>
              <w:t>ամօքսիցիլինի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t>տրիհիդրատ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)    125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39547A" w:rsidRDefault="006447B9" w:rsidP="00544769">
            <w:pPr>
              <w:jc w:val="center"/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252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նիտրոֆուրանտոին   50մգ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253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ֆուրազոլիդոն    50մգ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255</w:t>
            </w:r>
          </w:p>
        </w:tc>
        <w:tc>
          <w:tcPr>
            <w:tcW w:w="3544" w:type="dxa"/>
            <w:vAlign w:val="center"/>
          </w:tcPr>
          <w:p w:rsidR="006447B9" w:rsidRPr="003D49CA" w:rsidRDefault="006447B9" w:rsidP="00492BD3">
            <w:pPr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ֆուրոսեմիդ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10</w:t>
            </w:r>
            <w:r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>, 2</w:t>
            </w:r>
            <w:r>
              <w:rPr>
                <w:rFonts w:ascii="GHEA Grapalat" w:hAnsi="GHEA Grapalat" w:cs="Calibri"/>
                <w:sz w:val="16"/>
                <w:szCs w:val="16"/>
              </w:rPr>
              <w:t>մլ</w:t>
            </w:r>
            <w:r w:rsidRPr="003D49CA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6447B9" w:rsidRPr="006C2E6A" w:rsidTr="00492BD3">
        <w:tc>
          <w:tcPr>
            <w:tcW w:w="709" w:type="dxa"/>
            <w:vAlign w:val="center"/>
          </w:tcPr>
          <w:p w:rsidR="006447B9" w:rsidRPr="00D97843" w:rsidRDefault="006447B9" w:rsidP="00492BD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256</w:t>
            </w:r>
          </w:p>
        </w:tc>
        <w:tc>
          <w:tcPr>
            <w:tcW w:w="3544" w:type="dxa"/>
            <w:vAlign w:val="center"/>
          </w:tcPr>
          <w:p w:rsidR="006447B9" w:rsidRDefault="006447B9" w:rsidP="00492BD3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 xml:space="preserve">ֆուրոսեմիդ   40մգ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6447B9" w:rsidRPr="004F40C8" w:rsidRDefault="006447B9" w:rsidP="0054476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447B9" w:rsidRPr="0051546E" w:rsidRDefault="006447B9" w:rsidP="001E789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6447B9" w:rsidRPr="000271FB" w:rsidRDefault="006447B9" w:rsidP="001E78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r w:rsidR="00051BF3" w:rsidRPr="00FF5B31">
        <w:rPr>
          <w:rFonts w:ascii="Sylfaen" w:hAnsi="Sylfaen" w:cs="Sylfaen"/>
        </w:rPr>
        <w:t>Սույն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հայտարարության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հետ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կապված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լրացուցիչ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տեղեկություններ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ստանալու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համար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կարող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եք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դիմել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գնումների</w:t>
      </w:r>
      <w:r w:rsidR="00051BF3" w:rsidRPr="00705906">
        <w:rPr>
          <w:lang w:val="af-ZA"/>
        </w:rPr>
        <w:t xml:space="preserve"> </w:t>
      </w:r>
      <w:r w:rsidR="00051BF3" w:rsidRPr="00FF5B31">
        <w:rPr>
          <w:rFonts w:ascii="Sylfaen" w:hAnsi="Sylfaen" w:cs="Sylfaen"/>
        </w:rPr>
        <w:t>համակարգող՝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Հեռախոս՝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r w:rsidRPr="00FF5B31">
        <w:rPr>
          <w:rFonts w:ascii="Sylfaen" w:hAnsi="Sylfaen" w:cs="Sylfaen"/>
        </w:rPr>
        <w:t>Էլ</w:t>
      </w:r>
      <w:r w:rsidRPr="00705906">
        <w:rPr>
          <w:lang w:val="af-ZA"/>
        </w:rPr>
        <w:t>.</w:t>
      </w:r>
      <w:r w:rsidRPr="00FF5B31">
        <w:rPr>
          <w:rFonts w:ascii="Sylfaen" w:hAnsi="Sylfaen" w:cs="Sylfaen"/>
        </w:rPr>
        <w:t>փոստ</w:t>
      </w:r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r w:rsidRPr="00FF5B31">
        <w:rPr>
          <w:rFonts w:ascii="Sylfaen" w:hAnsi="Sylfaen" w:cs="Sylfaen"/>
        </w:rPr>
        <w:t>Պատվիրատու</w:t>
      </w:r>
      <w:r w:rsidRPr="00FF5B31">
        <w:t xml:space="preserve">` </w:t>
      </w:r>
      <w:r w:rsidR="00FF5B31">
        <w:t xml:space="preserve"> &lt;&lt;</w:t>
      </w:r>
      <w:r w:rsidR="00FF5B31">
        <w:rPr>
          <w:rFonts w:ascii="Sylfaen" w:hAnsi="Sylfaen"/>
        </w:rPr>
        <w:t>Վեդու Բժշկական կենտրոն&gt;&gt;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5722E"/>
    <w:rsid w:val="002A407D"/>
    <w:rsid w:val="0039547A"/>
    <w:rsid w:val="00492BD3"/>
    <w:rsid w:val="004F40C8"/>
    <w:rsid w:val="00544769"/>
    <w:rsid w:val="006447B9"/>
    <w:rsid w:val="006C2E6A"/>
    <w:rsid w:val="00705906"/>
    <w:rsid w:val="00786073"/>
    <w:rsid w:val="00797E71"/>
    <w:rsid w:val="007C4773"/>
    <w:rsid w:val="007D7F56"/>
    <w:rsid w:val="00812AA5"/>
    <w:rsid w:val="008C32B8"/>
    <w:rsid w:val="008D2CCB"/>
    <w:rsid w:val="009670F5"/>
    <w:rsid w:val="009E2815"/>
    <w:rsid w:val="00A23C2B"/>
    <w:rsid w:val="00A82A96"/>
    <w:rsid w:val="00B3593A"/>
    <w:rsid w:val="00CC6DE0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DC1A-6C03-4C6D-A5D9-38C0A574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5339</Words>
  <Characters>30437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25</cp:revision>
  <dcterms:created xsi:type="dcterms:W3CDTF">2014-10-08T09:31:00Z</dcterms:created>
  <dcterms:modified xsi:type="dcterms:W3CDTF">2016-07-15T10:33:00Z</dcterms:modified>
</cp:coreProperties>
</file>