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A345DF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DD7956">
        <w:rPr>
          <w:rFonts w:ascii="Arial LatArm" w:hAnsi="Arial LatArm" w:cs="Sylfaen"/>
          <w:b/>
          <w:szCs w:val="24"/>
          <w:lang w:val="es-ES"/>
        </w:rPr>
        <w:t>1</w:t>
      </w:r>
      <w:r w:rsidR="00A345DF">
        <w:rPr>
          <w:rFonts w:ascii="Arial LatArm" w:hAnsi="Arial LatArm" w:cs="Sylfaen"/>
          <w:b/>
          <w:szCs w:val="24"/>
          <w:lang w:val="es-ES"/>
        </w:rPr>
        <w:t xml:space="preserve">21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A345DF">
        <w:rPr>
          <w:rFonts w:ascii="Sylfaen" w:hAnsi="Sylfaen" w:cs="Sylfaen"/>
          <w:b/>
          <w:szCs w:val="24"/>
          <w:lang w:val="es-ES"/>
        </w:rPr>
        <w:t>Շ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206368">
        <w:rPr>
          <w:rFonts w:ascii="Arial LatArm" w:hAnsi="Arial LatArm" w:cs="Sylfaen"/>
          <w:b/>
          <w:szCs w:val="24"/>
          <w:lang w:val="es-ES"/>
        </w:rPr>
        <w:t>1</w:t>
      </w:r>
      <w:r w:rsidR="00A345DF">
        <w:rPr>
          <w:rFonts w:ascii="Arial LatArm" w:hAnsi="Arial LatArm" w:cs="Sylfaen"/>
          <w:b/>
          <w:szCs w:val="24"/>
          <w:lang w:val="es-ES"/>
        </w:rPr>
        <w:t>21</w:t>
      </w:r>
      <w:r w:rsidR="00916090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627"/>
        <w:gridCol w:w="226"/>
        <w:gridCol w:w="165"/>
        <w:gridCol w:w="168"/>
        <w:gridCol w:w="355"/>
        <w:gridCol w:w="191"/>
        <w:gridCol w:w="59"/>
        <w:gridCol w:w="103"/>
        <w:gridCol w:w="120"/>
        <w:gridCol w:w="96"/>
        <w:gridCol w:w="577"/>
        <w:gridCol w:w="84"/>
        <w:gridCol w:w="23"/>
        <w:gridCol w:w="451"/>
        <w:gridCol w:w="80"/>
        <w:gridCol w:w="1179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43EE7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930DA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622FFE" w:rsidRDefault="00A345DF" w:rsidP="008675F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ED7D44">
              <w:rPr>
                <w:rFonts w:ascii="Arial Unicode" w:hAnsi="Arial Unicode"/>
                <w:sz w:val="22"/>
                <w:szCs w:val="22"/>
              </w:rPr>
              <w:t>Ավիատոմս</w:t>
            </w:r>
            <w:proofErr w:type="spellEnd"/>
            <w:r w:rsidRPr="00ED7D44">
              <w:rPr>
                <w:rFonts w:ascii="Arial LatArm" w:hAnsi="Arial LatArm"/>
                <w:sz w:val="22"/>
                <w:szCs w:val="22"/>
              </w:rPr>
              <w:t>`</w:t>
            </w:r>
            <w:r w:rsidRPr="00ED7D44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D7D44">
              <w:rPr>
                <w:rFonts w:ascii="Sylfaen" w:hAnsi="Sylfaen"/>
                <w:sz w:val="22"/>
                <w:szCs w:val="22"/>
              </w:rPr>
              <w:t>Երևան-Կրասնոդար</w:t>
            </w:r>
            <w:proofErr w:type="spellEnd"/>
            <w:r w:rsidRPr="00ED7D44">
              <w:rPr>
                <w:rFonts w:ascii="Sylfaen" w:hAnsi="Sylfaen"/>
                <w:sz w:val="22"/>
                <w:szCs w:val="22"/>
              </w:rPr>
              <w:t xml:space="preserve"> -</w:t>
            </w:r>
            <w:proofErr w:type="spellStart"/>
            <w:r w:rsidRPr="00ED7D44">
              <w:rPr>
                <w:rFonts w:ascii="Sylfaen" w:hAnsi="Sylfaen"/>
                <w:sz w:val="22"/>
                <w:szCs w:val="22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A43EE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345DF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43EE7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82641C" w:rsidRDefault="00A43EE7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DF" w:rsidRPr="00A345DF" w:rsidRDefault="00A345DF" w:rsidP="00A345DF">
            <w:pPr>
              <w:rPr>
                <w:rFonts w:ascii="Sylfaen" w:hAnsi="Sylfaen" w:cs="Sylfaen"/>
                <w:sz w:val="20"/>
                <w:lang w:eastAsia="en-US"/>
              </w:rPr>
            </w:pPr>
            <w:r w:rsidRPr="00A345DF">
              <w:rPr>
                <w:rFonts w:ascii="Sylfaen" w:hAnsi="Sylfaen" w:cs="Sylfaen"/>
                <w:sz w:val="20"/>
                <w:lang w:eastAsia="en-US"/>
              </w:rPr>
              <w:t>06.10.2016 17:40 U6 2872</w:t>
            </w:r>
          </w:p>
          <w:p w:rsidR="00A43EE7" w:rsidRPr="00352CA9" w:rsidRDefault="00A345DF" w:rsidP="00A345D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5DF">
              <w:rPr>
                <w:rFonts w:ascii="Sylfaen" w:hAnsi="Sylfaen" w:cs="Sylfaen"/>
                <w:sz w:val="20"/>
                <w:lang w:eastAsia="en-US"/>
              </w:rPr>
              <w:t>10.10.2016 23:40 UT 733</w:t>
            </w:r>
          </w:p>
        </w:tc>
        <w:tc>
          <w:tcPr>
            <w:tcW w:w="261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DF" w:rsidRPr="00A345DF" w:rsidRDefault="00A345DF" w:rsidP="00A345DF">
            <w:pPr>
              <w:rPr>
                <w:rFonts w:ascii="Sylfaen" w:hAnsi="Sylfaen" w:cs="Sylfaen"/>
                <w:sz w:val="20"/>
                <w:lang w:eastAsia="en-US"/>
              </w:rPr>
            </w:pPr>
            <w:r w:rsidRPr="00A345DF">
              <w:rPr>
                <w:rFonts w:ascii="Sylfaen" w:hAnsi="Sylfaen" w:cs="Sylfaen"/>
                <w:sz w:val="20"/>
                <w:lang w:eastAsia="en-US"/>
              </w:rPr>
              <w:t>06.10.2016 17:40 U6 2872</w:t>
            </w:r>
          </w:p>
          <w:p w:rsidR="00A43EE7" w:rsidRPr="00352CA9" w:rsidRDefault="00A345DF" w:rsidP="00A345D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345DF">
              <w:rPr>
                <w:rFonts w:ascii="Sylfaen" w:hAnsi="Sylfaen" w:cs="Sylfaen"/>
                <w:sz w:val="20"/>
                <w:lang w:eastAsia="en-US"/>
              </w:rPr>
              <w:t>10.10.2016 23:40 UT 733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345D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22</w:t>
            </w:r>
            <w:r w:rsidR="005C3D8D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34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34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="00EE66F4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="00EE66F4" w:rsidRPr="00E41B9E">
              <w:rPr>
                <w:rFonts w:ascii="Sylfaen" w:hAnsi="Sylfaen" w:cs="Sylfaen"/>
                <w:sz w:val="20"/>
              </w:rPr>
              <w:t xml:space="preserve"> </w:t>
            </w:r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EE66F4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E66A05" w:rsidRPr="00E0552A" w:rsidRDefault="00EE66F4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A345D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A345DF" w:rsidP="00A53073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146.000</w:t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2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54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9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3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3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A345D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1A24" w:rsidRDefault="00A345DF">
            <w:r>
              <w:rPr>
                <w:rFonts w:ascii="Arial Armenian" w:hAnsi="Arial Armenian"/>
              </w:rPr>
              <w:t>07</w:t>
            </w:r>
            <w:r w:rsidR="00361A24" w:rsidRPr="00DD212D">
              <w:rPr>
                <w:rFonts w:ascii="Arial Armenian" w:hAnsi="Arial Armenian"/>
              </w:rPr>
              <w:t>.10.2016</w:t>
            </w:r>
            <w:r w:rsidR="00361A24"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1A24" w:rsidRDefault="00A345DF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2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մասնակիցը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345DF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2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2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4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18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E7" w:rsidRDefault="00F87FE7">
      <w:r>
        <w:separator/>
      </w:r>
    </w:p>
  </w:endnote>
  <w:endnote w:type="continuationSeparator" w:id="0">
    <w:p w:rsidR="00F87FE7" w:rsidRDefault="00F8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5DF">
      <w:rPr>
        <w:rStyle w:val="PageNumber"/>
        <w:noProof/>
      </w:rPr>
      <w:t>5</w: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E7" w:rsidRDefault="00F87FE7">
      <w:r>
        <w:separator/>
      </w:r>
    </w:p>
  </w:footnote>
  <w:footnote w:type="continuationSeparator" w:id="0">
    <w:p w:rsidR="00F87FE7" w:rsidRDefault="00F87FE7">
      <w:r>
        <w:continuationSeparator/>
      </w:r>
    </w:p>
  </w:footnote>
  <w:footnote w:id="1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5C3D8D" w:rsidRPr="002D0BF6" w:rsidRDefault="005C3D8D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66921"/>
    <w:rsid w:val="0017199E"/>
    <w:rsid w:val="00177BF5"/>
    <w:rsid w:val="00183A4B"/>
    <w:rsid w:val="00186C44"/>
    <w:rsid w:val="001A6A95"/>
    <w:rsid w:val="001B1B28"/>
    <w:rsid w:val="001B6FC6"/>
    <w:rsid w:val="001C2194"/>
    <w:rsid w:val="001C43FC"/>
    <w:rsid w:val="001C76CC"/>
    <w:rsid w:val="001D0BEA"/>
    <w:rsid w:val="001E05DC"/>
    <w:rsid w:val="001E2660"/>
    <w:rsid w:val="001E5769"/>
    <w:rsid w:val="001F3E2C"/>
    <w:rsid w:val="001F431F"/>
    <w:rsid w:val="001F6F88"/>
    <w:rsid w:val="001F7B6F"/>
    <w:rsid w:val="00206368"/>
    <w:rsid w:val="00211A3C"/>
    <w:rsid w:val="00217410"/>
    <w:rsid w:val="0022318F"/>
    <w:rsid w:val="0022372C"/>
    <w:rsid w:val="0022503A"/>
    <w:rsid w:val="00231412"/>
    <w:rsid w:val="002373F8"/>
    <w:rsid w:val="0024122B"/>
    <w:rsid w:val="00243613"/>
    <w:rsid w:val="00245B52"/>
    <w:rsid w:val="00267F82"/>
    <w:rsid w:val="00273C9D"/>
    <w:rsid w:val="00284831"/>
    <w:rsid w:val="002852CB"/>
    <w:rsid w:val="00293D39"/>
    <w:rsid w:val="002960EE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1A24"/>
    <w:rsid w:val="003643B0"/>
    <w:rsid w:val="003672B6"/>
    <w:rsid w:val="00370B2C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3A7A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3D8D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240BA"/>
    <w:rsid w:val="00844778"/>
    <w:rsid w:val="00844E7B"/>
    <w:rsid w:val="008537CD"/>
    <w:rsid w:val="00855A32"/>
    <w:rsid w:val="008619EA"/>
    <w:rsid w:val="00866F93"/>
    <w:rsid w:val="008675F1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16090"/>
    <w:rsid w:val="00922ED6"/>
    <w:rsid w:val="0092342D"/>
    <w:rsid w:val="0092526E"/>
    <w:rsid w:val="0092607E"/>
    <w:rsid w:val="00930DA7"/>
    <w:rsid w:val="0093240A"/>
    <w:rsid w:val="00936190"/>
    <w:rsid w:val="00944859"/>
    <w:rsid w:val="00945761"/>
    <w:rsid w:val="009504B0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9F7E0B"/>
    <w:rsid w:val="00A0164B"/>
    <w:rsid w:val="00A0585A"/>
    <w:rsid w:val="00A0696B"/>
    <w:rsid w:val="00A14A00"/>
    <w:rsid w:val="00A2073C"/>
    <w:rsid w:val="00A20936"/>
    <w:rsid w:val="00A2435B"/>
    <w:rsid w:val="00A345DF"/>
    <w:rsid w:val="00A35ABB"/>
    <w:rsid w:val="00A35D66"/>
    <w:rsid w:val="00A35F02"/>
    <w:rsid w:val="00A373DD"/>
    <w:rsid w:val="00A40191"/>
    <w:rsid w:val="00A4078E"/>
    <w:rsid w:val="00A42BE6"/>
    <w:rsid w:val="00A43825"/>
    <w:rsid w:val="00A43EE7"/>
    <w:rsid w:val="00A53073"/>
    <w:rsid w:val="00A5478E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06B9"/>
    <w:rsid w:val="00AA574C"/>
    <w:rsid w:val="00AA7E13"/>
    <w:rsid w:val="00AB66F2"/>
    <w:rsid w:val="00AC3FF4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44ADD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5E1C"/>
    <w:rsid w:val="00CA6626"/>
    <w:rsid w:val="00CB3CED"/>
    <w:rsid w:val="00CC3915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1894"/>
    <w:rsid w:val="00D53F07"/>
    <w:rsid w:val="00D545DB"/>
    <w:rsid w:val="00D55978"/>
    <w:rsid w:val="00D62220"/>
    <w:rsid w:val="00D6334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D7956"/>
    <w:rsid w:val="00DF04EA"/>
    <w:rsid w:val="00DF2CF0"/>
    <w:rsid w:val="00DF6ED3"/>
    <w:rsid w:val="00E0552A"/>
    <w:rsid w:val="00E06771"/>
    <w:rsid w:val="00E102E4"/>
    <w:rsid w:val="00E10EF9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38B1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753A7"/>
    <w:rsid w:val="00F80788"/>
    <w:rsid w:val="00F82A93"/>
    <w:rsid w:val="00F851A9"/>
    <w:rsid w:val="00F867CD"/>
    <w:rsid w:val="00F874B6"/>
    <w:rsid w:val="00F87FE7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A2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A2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363A-89F6-45AE-B911-62E7E2A7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17</cp:revision>
  <dcterms:created xsi:type="dcterms:W3CDTF">2014-03-20T22:36:00Z</dcterms:created>
  <dcterms:modified xsi:type="dcterms:W3CDTF">2016-10-07T08:39:00Z</dcterms:modified>
</cp:coreProperties>
</file>