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F70BFB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Pr="00354063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C734E5" w:rsidRPr="00C734E5">
        <w:rPr>
          <w:rFonts w:ascii="Sylfaen" w:hAnsi="Sylfaen" w:cs="Sylfaen"/>
          <w:lang w:val="af-ZA"/>
        </w:rPr>
        <w:t>3-</w:t>
      </w:r>
      <w:r w:rsidRPr="00C446DF">
        <w:rPr>
          <w:rFonts w:ascii="Sylfaen" w:hAnsi="Sylfaen" w:cs="Sylfaen"/>
          <w:lang w:val="af-ZA"/>
        </w:rPr>
        <w:t xml:space="preserve"> ՄՀՈԱԿ-ՇՀԱՊՁԲ-1</w:t>
      </w:r>
      <w:r w:rsidR="007E7F65">
        <w:rPr>
          <w:rFonts w:ascii="Sylfaen" w:hAnsi="Sylfaen" w:cs="Sylfaen"/>
          <w:lang w:val="af-ZA"/>
        </w:rPr>
        <w:t>5</w:t>
      </w:r>
      <w:r w:rsidRPr="00C446DF">
        <w:rPr>
          <w:rFonts w:ascii="Sylfaen" w:hAnsi="Sylfaen" w:cs="Sylfaen"/>
          <w:lang w:val="af-ZA"/>
        </w:rPr>
        <w:t>/2-</w:t>
      </w:r>
      <w:r w:rsidR="00FB253D">
        <w:rPr>
          <w:rFonts w:ascii="Sylfaen" w:hAnsi="Sylfaen" w:cs="Sylfaen"/>
          <w:lang w:val="af-ZA"/>
        </w:rPr>
        <w:t>1</w:t>
      </w:r>
      <w:r w:rsidR="00BB1D6F">
        <w:rPr>
          <w:rFonts w:ascii="Sylfaen" w:hAnsi="Sylfaen" w:cs="Sylfaen"/>
          <w:lang w:val="af-ZA"/>
        </w:rPr>
        <w:t>7</w:t>
      </w:r>
      <w:r w:rsidR="00FB253D">
        <w:rPr>
          <w:rFonts w:ascii="Sylfaen" w:hAnsi="Sylfaen" w:cs="Sylfaen"/>
          <w:lang w:val="af-ZA"/>
        </w:rPr>
        <w:t>-0</w:t>
      </w:r>
      <w:r w:rsidR="00BB1D6F">
        <w:rPr>
          <w:rFonts w:ascii="Sylfaen" w:hAnsi="Sylfaen" w:cs="Sylfaen"/>
          <w:lang w:val="af-ZA"/>
        </w:rPr>
        <w:t>1</w:t>
      </w:r>
    </w:p>
    <w:p w:rsidR="00F70BFB" w:rsidRPr="00354063" w:rsidRDefault="00F70BFB" w:rsidP="00C446DF">
      <w:pPr>
        <w:ind w:firstLine="720"/>
        <w:jc w:val="center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C734E5" w:rsidRPr="00C734E5">
        <w:rPr>
          <w:rFonts w:ascii="Sylfaen" w:hAnsi="Sylfaen"/>
          <w:sz w:val="20"/>
          <w:lang w:val="af-ZA"/>
        </w:rPr>
        <w:t>3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Նելսոն</w:t>
      </w:r>
      <w:r w:rsidR="00E71B9E" w:rsidRPr="00354063">
        <w:rPr>
          <w:rFonts w:ascii="Arial LatArm" w:hAnsi="Arial Unicode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Ստեփանյան</w:t>
      </w:r>
      <w:r w:rsidR="00E71B9E" w:rsidRPr="00354063">
        <w:rPr>
          <w:rFonts w:ascii="Arial LatArm" w:hAnsi="Arial Unicode"/>
          <w:sz w:val="20"/>
          <w:lang w:val="af-ZA"/>
        </w:rPr>
        <w:t xml:space="preserve"> 13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C734E5" w:rsidRPr="00C734E5">
        <w:rPr>
          <w:rFonts w:ascii="Sylfaen" w:hAnsi="Sylfaen" w:cs="Sylfaen"/>
          <w:sz w:val="20"/>
          <w:lang w:val="af-ZA"/>
        </w:rPr>
        <w:t>3-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7E7F65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BB1D6F">
        <w:rPr>
          <w:rFonts w:ascii="Sylfaen" w:hAnsi="Sylfaen" w:cs="Sylfaen"/>
          <w:sz w:val="20"/>
          <w:lang w:val="af-ZA"/>
        </w:rPr>
        <w:t>7</w:t>
      </w:r>
      <w:r w:rsidR="00FB253D">
        <w:rPr>
          <w:rFonts w:ascii="Sylfaen" w:hAnsi="Sylfaen" w:cs="Sylfaen"/>
          <w:sz w:val="20"/>
          <w:lang w:val="af-ZA"/>
        </w:rPr>
        <w:t>-0</w:t>
      </w:r>
      <w:r w:rsidR="00BB1D6F">
        <w:rPr>
          <w:rFonts w:ascii="Sylfaen" w:hAnsi="Sylfaen" w:cs="Sylfaen"/>
          <w:sz w:val="20"/>
          <w:lang w:val="af-ZA"/>
        </w:rPr>
        <w:t>1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67"/>
        <w:gridCol w:w="155"/>
        <w:gridCol w:w="84"/>
        <w:gridCol w:w="100"/>
        <w:gridCol w:w="239"/>
        <w:gridCol w:w="122"/>
        <w:gridCol w:w="441"/>
        <w:gridCol w:w="274"/>
        <w:gridCol w:w="14"/>
        <w:gridCol w:w="18"/>
        <w:gridCol w:w="39"/>
        <w:gridCol w:w="94"/>
        <w:gridCol w:w="71"/>
        <w:gridCol w:w="61"/>
        <w:gridCol w:w="138"/>
        <w:gridCol w:w="319"/>
        <w:gridCol w:w="260"/>
        <w:gridCol w:w="417"/>
        <w:gridCol w:w="293"/>
        <w:gridCol w:w="13"/>
        <w:gridCol w:w="403"/>
        <w:gridCol w:w="236"/>
        <w:gridCol w:w="156"/>
        <w:gridCol w:w="134"/>
        <w:gridCol w:w="183"/>
        <w:gridCol w:w="299"/>
        <w:gridCol w:w="702"/>
        <w:gridCol w:w="178"/>
        <w:gridCol w:w="139"/>
        <w:gridCol w:w="344"/>
        <w:gridCol w:w="48"/>
        <w:gridCol w:w="325"/>
        <w:gridCol w:w="58"/>
        <w:gridCol w:w="208"/>
        <w:gridCol w:w="118"/>
        <w:gridCol w:w="141"/>
        <w:gridCol w:w="598"/>
        <w:gridCol w:w="111"/>
        <w:gridCol w:w="142"/>
        <w:gridCol w:w="45"/>
        <w:gridCol w:w="522"/>
        <w:gridCol w:w="31"/>
        <w:gridCol w:w="252"/>
        <w:gridCol w:w="158"/>
        <w:gridCol w:w="693"/>
        <w:gridCol w:w="425"/>
      </w:tblGrid>
      <w:tr w:rsidR="00C446DF" w:rsidRPr="00061252" w:rsidTr="0027371B">
        <w:trPr>
          <w:trHeight w:val="146"/>
        </w:trPr>
        <w:tc>
          <w:tcPr>
            <w:tcW w:w="10618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27371B">
        <w:trPr>
          <w:cantSplit/>
          <w:trHeight w:val="110"/>
        </w:trPr>
        <w:tc>
          <w:tcPr>
            <w:tcW w:w="55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9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05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7F1EA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536" w:type="dxa"/>
            <w:gridSpan w:val="19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27371B">
        <w:trPr>
          <w:cantSplit/>
          <w:trHeight w:val="175"/>
        </w:trPr>
        <w:tc>
          <w:tcPr>
            <w:tcW w:w="55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36" w:type="dxa"/>
            <w:gridSpan w:val="19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27371B">
        <w:trPr>
          <w:cantSplit/>
          <w:trHeight w:val="459"/>
        </w:trPr>
        <w:tc>
          <w:tcPr>
            <w:tcW w:w="55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536" w:type="dxa"/>
            <w:gridSpan w:val="19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A22478" w:rsidTr="00B52343">
        <w:trPr>
          <w:trHeight w:val="816"/>
        </w:trPr>
        <w:tc>
          <w:tcPr>
            <w:tcW w:w="550" w:type="dxa"/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1129-93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C51A8" w:rsidRPr="005B27B2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1129-93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Անուշ լինի ֆիրմային արտադրանք</w:t>
            </w:r>
          </w:p>
        </w:tc>
      </w:tr>
      <w:tr w:rsidR="000C51A8" w:rsidRPr="000C51A8" w:rsidTr="007F1EA8">
        <w:trPr>
          <w:trHeight w:val="1851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99,75%-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0,14%-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0,0003%-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21-94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50%-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99,75%-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0,14%-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0,0003%-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21-94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50%-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C51A8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13%-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15%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. 2007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‚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"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13%-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15%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. 2007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‚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"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.         &lt;&lt;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Անուշ լինի&gt;&gt;  ֆիրմայի, 25 կգ անոց պարկերով</w:t>
            </w:r>
          </w:p>
        </w:tc>
      </w:tr>
      <w:tr w:rsidR="000C51A8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B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B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 &lt;&lt;</w:t>
            </w:r>
            <w:r w:rsidRPr="007C2E71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М</w:t>
            </w:r>
            <w:r w:rsidRPr="00C04F24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о</w:t>
            </w:r>
            <w:r w:rsidRPr="007C2E71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я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7C2E71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семья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ֆիրմայի</w:t>
            </w:r>
          </w:p>
        </w:tc>
      </w:tr>
      <w:tr w:rsidR="000C51A8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Հաճ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50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50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Հրազդանի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մաքուր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թեփուկների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259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14,0 %-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97,5 %-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70 %: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14,0 %-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97,5 %-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70 %: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տարայով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3343-89: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տարայով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3343-89: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N 2-III-4.9-01-2010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&lt;&lt;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Մուշ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արտադրությամբ</w:t>
            </w:r>
          </w:p>
        </w:tc>
      </w:tr>
      <w:tr w:rsidR="000C51A8" w:rsidRPr="00A22478" w:rsidTr="007F1EA8">
        <w:trPr>
          <w:trHeight w:val="6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2-III-4.9-01-2010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100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2-III-4.9-01-2010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100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239-2005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12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 1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239-2005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12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C51A8" w:rsidRPr="000C51A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3,5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 55%,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 90 %-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3,5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 55%,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55%,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6,5)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`  90 %-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26768-85)  55% 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45%-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աստիճանը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խիտ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Կաղամբակոթի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ցրտահարված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մթերումը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քաշը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-0.7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26768-85)  55% 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45%-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աստիճանը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խիտ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Կաղամբակոթի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ցրտահարված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մթերումը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քաշը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-0.7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համաձայն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Է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Շանթ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ֆիրմայի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խմբի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21122-75,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”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խմբի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21122-75,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”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27166-86,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‚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27166-86,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‚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0C51A8" w:rsidTr="00A2689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26767-85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26767-85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կառուցվածքը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միջուկը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հյութալի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կարմիր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երանգների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ամենամեծ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տրամագծով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) 5-14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շեղումներ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նշված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խորությամբ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կպած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հողի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քանակի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1%: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Արտաքին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Ներքին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կառուցվածքը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միջուկը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հյութալի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մուգ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կարմիր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երանգների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ամենամեծ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տրամագծով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) 5-14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շեղումներ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նշված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3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խորությամբ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5%-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կպած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հողի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քանակի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A22478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,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բժշկական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փաստաթղթերով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ll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կատոգորիաների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մկաններավ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0-4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՛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C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մսի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779-55: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N2-lll-4.9-01-2003(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2.3.2.-1078-01)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,,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0C51A8" w:rsidRPr="000C51A8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,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բժշկական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փաստաթղթերով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ll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կատ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ե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գորիաների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մկաններ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0-4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՛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C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l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մսի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779-55: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N2-lll-4.9-01-2003(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2.3.2.-1078-01)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,,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0C51A8" w:rsidRPr="00BB1D6F" w:rsidTr="00B52343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0C51A8" w:rsidRPr="00A57952" w:rsidRDefault="000C51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A57952" w:rsidRDefault="000C51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A57952" w:rsidRDefault="000C51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C51A8" w:rsidRPr="00625043" w:rsidRDefault="000C51A8" w:rsidP="000C51A8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25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120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182-2012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2011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29-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» N 1438-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 մնացորդային ժամկետը ոչ պակաս քան 90%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C51A8" w:rsidRPr="00C04F24" w:rsidRDefault="000C51A8" w:rsidP="0079605D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,1-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` 25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` 120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182-2012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2011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29-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</w:rPr>
              <w:t>N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1438-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 «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C51A8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5043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 մնացորդային ժամկետը ոչ պակաս քան 90%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Արաքս  թռչնաֆաբրիկա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յ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ի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արտադրության:</w:t>
            </w:r>
          </w:p>
        </w:tc>
      </w:tr>
      <w:tr w:rsidR="000C51A8" w:rsidRPr="00BB1D6F" w:rsidTr="0027371B">
        <w:trPr>
          <w:trHeight w:val="169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0C51A8" w:rsidRPr="005A2211" w:rsidRDefault="000C51A8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0C51A8" w:rsidRPr="00061252" w:rsidTr="0027371B">
        <w:trPr>
          <w:trHeight w:val="443"/>
        </w:trPr>
        <w:tc>
          <w:tcPr>
            <w:tcW w:w="3969" w:type="dxa"/>
            <w:gridSpan w:val="21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649" w:type="dxa"/>
            <w:gridSpan w:val="26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0C51A8" w:rsidRPr="00061252" w:rsidTr="0027371B">
        <w:trPr>
          <w:trHeight w:val="196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F19C1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F19C1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F19C1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F19C1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637E87" w:rsidRDefault="000C51A8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C51A8" w:rsidRPr="00464370" w:rsidRDefault="000C51A8" w:rsidP="009566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15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12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6</w:t>
            </w:r>
            <w:r w:rsidRPr="00FB253D">
              <w:rPr>
                <w:rFonts w:ascii="Sylfaen" w:hAnsi="Sylfaen"/>
                <w:b/>
                <w:sz w:val="14"/>
                <w:lang w:val="hy-AM"/>
              </w:rPr>
              <w:t>թ</w:t>
            </w:r>
          </w:p>
        </w:tc>
      </w:tr>
      <w:tr w:rsidR="000C51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Հրավերում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կատարված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փոփոխությունների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…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պարզաբանումների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FB253D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Հարցարդման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ստացման</w:t>
            </w: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rPr>
          <w:cantSplit/>
          <w:trHeight w:val="40"/>
        </w:trPr>
        <w:tc>
          <w:tcPr>
            <w:tcW w:w="1395" w:type="dxa"/>
            <w:gridSpan w:val="6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51" w:type="dxa"/>
            <w:gridSpan w:val="12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372" w:type="dxa"/>
            <w:gridSpan w:val="29"/>
            <w:vAlign w:val="center"/>
          </w:tcPr>
          <w:p w:rsidR="000C51A8" w:rsidRPr="00061252" w:rsidRDefault="000C51A8" w:rsidP="007F1EA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0C51A8" w:rsidRPr="00061252" w:rsidTr="0027371B">
        <w:trPr>
          <w:cantSplit/>
          <w:trHeight w:val="213"/>
        </w:trPr>
        <w:tc>
          <w:tcPr>
            <w:tcW w:w="1395" w:type="dxa"/>
            <w:gridSpan w:val="6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372" w:type="dxa"/>
            <w:gridSpan w:val="29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0C51A8" w:rsidRPr="00061252" w:rsidTr="0027371B">
        <w:trPr>
          <w:cantSplit/>
          <w:trHeight w:val="137"/>
        </w:trPr>
        <w:tc>
          <w:tcPr>
            <w:tcW w:w="1395" w:type="dxa"/>
            <w:gridSpan w:val="6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836" w:type="dxa"/>
            <w:gridSpan w:val="10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0C51A8" w:rsidRPr="00061252" w:rsidTr="0027371B">
        <w:trPr>
          <w:cantSplit/>
          <w:trHeight w:val="50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0C51A8" w:rsidRPr="00061252" w:rsidTr="0027371B">
        <w:trPr>
          <w:trHeight w:val="83"/>
        </w:trPr>
        <w:tc>
          <w:tcPr>
            <w:tcW w:w="1395" w:type="dxa"/>
            <w:gridSpan w:val="6"/>
            <w:vAlign w:val="center"/>
          </w:tcPr>
          <w:p w:rsidR="000C51A8" w:rsidRPr="00F377B9" w:rsidRDefault="000C51A8" w:rsidP="0027371B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51" w:type="dxa"/>
            <w:gridSpan w:val="12"/>
            <w:tcBorders>
              <w:right w:val="single" w:sz="4" w:space="0" w:color="auto"/>
            </w:tcBorders>
            <w:vAlign w:val="center"/>
          </w:tcPr>
          <w:p w:rsidR="000C51A8" w:rsidRPr="00161FA0" w:rsidRDefault="000C51A8" w:rsidP="009566B8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 xml:space="preserve">ԱՁ </w:t>
            </w:r>
            <w:r>
              <w:rPr>
                <w:rFonts w:ascii="GHEA Grapalat" w:hAnsi="GHEA Grapalat"/>
                <w:b/>
                <w:sz w:val="12"/>
              </w:rPr>
              <w:t>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1A8" w:rsidRPr="00061252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1A8" w:rsidRPr="00061252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1A8" w:rsidRPr="00061252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1A8" w:rsidRPr="00061252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0C51A8" w:rsidRPr="00061252" w:rsidTr="007B63A0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0C51A8" w:rsidRPr="00061252" w:rsidTr="007B63A0">
        <w:trPr>
          <w:trHeight w:val="112"/>
        </w:trPr>
        <w:tc>
          <w:tcPr>
            <w:tcW w:w="139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0C51A8" w:rsidRPr="00061252" w:rsidTr="007B63A0">
        <w:trPr>
          <w:trHeight w:val="94"/>
        </w:trPr>
        <w:tc>
          <w:tcPr>
            <w:tcW w:w="1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</w:tr>
      <w:tr w:rsidR="000C51A8" w:rsidRPr="00061252" w:rsidTr="007B63A0">
        <w:trPr>
          <w:trHeight w:val="107"/>
        </w:trPr>
        <w:tc>
          <w:tcPr>
            <w:tcW w:w="139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</w:tr>
      <w:tr w:rsidR="000C51A8" w:rsidRPr="00061252" w:rsidTr="007B63A0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0C51A8" w:rsidRDefault="000C51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C51A8" w:rsidRDefault="000C51A8">
            <w:r w:rsidRPr="00F6673C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C10180" w:rsidRDefault="000C51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Pr="00BA3256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51A8" w:rsidRDefault="000C51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</w:tr>
      <w:tr w:rsidR="000C51A8" w:rsidRPr="009B62F2" w:rsidTr="0027371B">
        <w:trPr>
          <w:trHeight w:val="50"/>
        </w:trPr>
        <w:tc>
          <w:tcPr>
            <w:tcW w:w="3246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C51A8" w:rsidRDefault="000C51A8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7372" w:type="dxa"/>
            <w:gridSpan w:val="29"/>
          </w:tcPr>
          <w:p w:rsidR="000C51A8" w:rsidRPr="008204D9" w:rsidRDefault="000C51A8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0C51A8" w:rsidRPr="00061252" w:rsidTr="0027371B">
        <w:trPr>
          <w:trHeight w:val="50"/>
        </w:trPr>
        <w:tc>
          <w:tcPr>
            <w:tcW w:w="817" w:type="dxa"/>
            <w:gridSpan w:val="2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29" w:type="dxa"/>
            <w:gridSpan w:val="8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372" w:type="dxa"/>
            <w:gridSpan w:val="37"/>
            <w:tcBorders>
              <w:top w:val="nil"/>
              <w:bottom w:val="nil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0C51A8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0C51A8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rPr>
          <w:trHeight w:val="344"/>
        </w:trPr>
        <w:tc>
          <w:tcPr>
            <w:tcW w:w="2264" w:type="dxa"/>
            <w:gridSpan w:val="11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354" w:type="dxa"/>
            <w:gridSpan w:val="36"/>
            <w:tcBorders>
              <w:bottom w:val="single" w:sz="8" w:space="0" w:color="auto"/>
            </w:tcBorders>
            <w:vAlign w:val="center"/>
          </w:tcPr>
          <w:p w:rsidR="000C51A8" w:rsidRPr="004167B7" w:rsidRDefault="000C51A8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0C51A8" w:rsidRPr="00061252" w:rsidTr="0027371B">
        <w:trPr>
          <w:trHeight w:val="95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061252" w:rsidTr="0027371B">
        <w:tc>
          <w:tcPr>
            <w:tcW w:w="1056" w:type="dxa"/>
            <w:gridSpan w:val="4"/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15" w:type="dxa"/>
            <w:gridSpan w:val="35"/>
            <w:vAlign w:val="center"/>
          </w:tcPr>
          <w:p w:rsidR="000C51A8" w:rsidRPr="001B3F15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0C51A8" w:rsidRPr="00061252" w:rsidTr="0027371B">
        <w:trPr>
          <w:cantSplit/>
          <w:trHeight w:val="237"/>
        </w:trPr>
        <w:tc>
          <w:tcPr>
            <w:tcW w:w="1056" w:type="dxa"/>
            <w:gridSpan w:val="4"/>
            <w:vMerge w:val="restart"/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6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794" w:type="dxa"/>
            <w:gridSpan w:val="7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379" w:type="dxa"/>
            <w:gridSpan w:val="9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0C51A8" w:rsidRPr="00061252" w:rsidTr="0027371B">
        <w:trPr>
          <w:cantSplit/>
          <w:trHeight w:val="238"/>
        </w:trPr>
        <w:tc>
          <w:tcPr>
            <w:tcW w:w="1056" w:type="dxa"/>
            <w:gridSpan w:val="4"/>
            <w:vMerge/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9" w:type="dxa"/>
            <w:gridSpan w:val="9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0C51A8" w:rsidRPr="00061252" w:rsidTr="0027371B">
        <w:trPr>
          <w:trHeight w:val="263"/>
        </w:trPr>
        <w:tc>
          <w:tcPr>
            <w:tcW w:w="1056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1" w:type="dxa"/>
            <w:gridSpan w:val="7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0C51A8" w:rsidRPr="00061252" w:rsidTr="00C95C10">
        <w:trPr>
          <w:trHeight w:val="100"/>
        </w:trPr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F377B9" w:rsidRDefault="000C51A8" w:rsidP="00161FA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1-18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6C15DD" w:rsidRDefault="000C51A8" w:rsidP="000C51A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ԱՁ Ալվարդ Մելիքյան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0C51A8" w:rsidRDefault="000C51A8" w:rsidP="000C51A8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161FA0">
              <w:rPr>
                <w:rFonts w:ascii="Sylfaen" w:hAnsi="Sylfaen" w:cs="Sylfaen"/>
                <w:b/>
                <w:sz w:val="14"/>
                <w:lang w:val="ru-RU"/>
              </w:rPr>
              <w:t>3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Pr="00E66716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  <w:r w:rsidRPr="000C51A8">
              <w:rPr>
                <w:rFonts w:ascii="Sylfaen" w:hAnsi="Sylfaen" w:cs="Sylfaen"/>
                <w:b/>
                <w:sz w:val="14"/>
                <w:lang w:val="ru-RU"/>
              </w:rPr>
              <w:t>7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-0</w:t>
            </w:r>
            <w:r w:rsidRPr="000C51A8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061252" w:rsidRDefault="000C51A8" w:rsidP="000C5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09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1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7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061252" w:rsidRDefault="000C51A8" w:rsidP="000C5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</w:rPr>
              <w:t>7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</w:rPr>
              <w:t>Մարտի 31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8204D9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4167B7" w:rsidRDefault="000C51A8" w:rsidP="002737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51A8" w:rsidRDefault="000C5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380850</w:t>
            </w:r>
          </w:p>
        </w:tc>
      </w:tr>
      <w:tr w:rsidR="000C51A8" w:rsidRPr="00061252" w:rsidTr="0027371B">
        <w:trPr>
          <w:trHeight w:val="150"/>
        </w:trPr>
        <w:tc>
          <w:tcPr>
            <w:tcW w:w="10618" w:type="dxa"/>
            <w:gridSpan w:val="47"/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0C51A8" w:rsidRPr="00061252" w:rsidTr="0027371B">
        <w:trPr>
          <w:trHeight w:val="125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557" w:type="dxa"/>
            <w:gridSpan w:val="1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369" w:type="dxa"/>
            <w:gridSpan w:val="10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18" w:type="dxa"/>
            <w:gridSpan w:val="10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0C51A8" w:rsidRPr="00BC0787" w:rsidTr="0027371B">
        <w:trPr>
          <w:trHeight w:val="281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F377B9" w:rsidRDefault="000C51A8" w:rsidP="00161FA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1-18</w:t>
            </w:r>
          </w:p>
        </w:tc>
        <w:tc>
          <w:tcPr>
            <w:tcW w:w="1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6C15DD" w:rsidRDefault="000C51A8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ԱՁ Ալվարդ Մելիքյան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</w:t>
            </w:r>
            <w:r w:rsidRPr="00807830">
              <w:rPr>
                <w:rFonts w:ascii="Sylfaen" w:hAnsi="Sylfaen" w:cs="Sylfaen"/>
                <w:b/>
                <w:sz w:val="12"/>
                <w:lang w:val="ru-RU"/>
              </w:rPr>
              <w:t>3</w:t>
            </w:r>
          </w:p>
          <w:p w:rsidR="000C51A8" w:rsidRPr="006514FB" w:rsidRDefault="000C51A8" w:rsidP="0079605D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Հեռ. (093)430282</w:t>
            </w:r>
          </w:p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</w:p>
          <w:p w:rsidR="000C51A8" w:rsidRPr="006514FB" w:rsidRDefault="000C51A8" w:rsidP="0079605D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vahehayk03@mail.ru: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«Արդշինինվեստբանկ» ՓԲԸ Տավուշ մ/ճ</w:t>
            </w:r>
          </w:p>
          <w:p w:rsidR="000C51A8" w:rsidRPr="009540B3" w:rsidRDefault="000C51A8" w:rsidP="0079605D">
            <w:pPr>
              <w:rPr>
                <w:rFonts w:ascii="Sylfaen" w:hAnsi="Sylfaen" w:cs="Sylfaen"/>
                <w:bCs/>
                <w:sz w:val="20"/>
                <w:lang w:val="nb-NO"/>
              </w:rPr>
            </w:pPr>
            <w:r w:rsidRPr="009540B3">
              <w:rPr>
                <w:rFonts w:ascii="Sylfaen" w:hAnsi="Sylfaen" w:cs="Sylfaen"/>
                <w:bCs/>
                <w:sz w:val="20"/>
                <w:lang w:val="nb-NO"/>
              </w:rPr>
              <w:t>Հ/Հ 2477802272180000</w:t>
            </w:r>
          </w:p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1A8" w:rsidRPr="006514FB" w:rsidRDefault="000C51A8" w:rsidP="007960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84048228</w:t>
            </w:r>
          </w:p>
        </w:tc>
      </w:tr>
      <w:tr w:rsidR="000C51A8" w:rsidRPr="00061252" w:rsidTr="0027371B">
        <w:trPr>
          <w:trHeight w:val="98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061252" w:rsidRDefault="000C51A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A8" w:rsidRPr="0011638C" w:rsidRDefault="000C51A8" w:rsidP="0027371B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0C51A8" w:rsidRPr="00061252" w:rsidTr="0027371B">
        <w:trPr>
          <w:trHeight w:val="104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BB1D6F" w:rsidTr="0027371B">
        <w:trPr>
          <w:trHeight w:val="475"/>
        </w:trPr>
        <w:tc>
          <w:tcPr>
            <w:tcW w:w="2468" w:type="dxa"/>
            <w:gridSpan w:val="14"/>
            <w:tcBorders>
              <w:bottom w:val="single" w:sz="8" w:space="0" w:color="auto"/>
            </w:tcBorders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</w:tcPr>
          <w:p w:rsidR="000C51A8" w:rsidRPr="00061252" w:rsidRDefault="000C51A8" w:rsidP="000C51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161FA0">
              <w:rPr>
                <w:rFonts w:ascii="GHEA Grapalat" w:hAnsi="GHEA Grapalat"/>
                <w:b/>
                <w:sz w:val="14"/>
                <w:lang w:val="hy-AM"/>
              </w:rPr>
              <w:t>6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0C51A8">
              <w:rPr>
                <w:rFonts w:ascii="Sylfaen" w:hAnsi="Sylfaen" w:cs="Sylfaen"/>
                <w:b/>
                <w:sz w:val="14"/>
                <w:lang w:val="hy-AM"/>
              </w:rPr>
              <w:t>դեկտեմբերի 15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0C51A8" w:rsidRPr="00BB1D6F" w:rsidTr="0027371B">
        <w:trPr>
          <w:trHeight w:val="66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BB1D6F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0C51A8" w:rsidRPr="00BB1D6F" w:rsidTr="0027371B">
        <w:trPr>
          <w:trHeight w:val="50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BB1D6F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0C51A8" w:rsidRPr="00BB1D6F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0C51A8" w:rsidRPr="00061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0C51A8" w:rsidRPr="00061252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0C51A8" w:rsidRPr="00061252" w:rsidRDefault="000C51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0C51A8" w:rsidRPr="00061252" w:rsidTr="0027371B">
        <w:trPr>
          <w:trHeight w:val="227"/>
        </w:trPr>
        <w:tc>
          <w:tcPr>
            <w:tcW w:w="10618" w:type="dxa"/>
            <w:gridSpan w:val="47"/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0C51A8" w:rsidRPr="00061252" w:rsidTr="0027371B">
        <w:trPr>
          <w:trHeight w:val="47"/>
        </w:trPr>
        <w:tc>
          <w:tcPr>
            <w:tcW w:w="2397" w:type="dxa"/>
            <w:gridSpan w:val="13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662" w:type="dxa"/>
            <w:gridSpan w:val="27"/>
            <w:tcBorders>
              <w:bottom w:val="single" w:sz="8" w:space="0" w:color="auto"/>
            </w:tcBorders>
            <w:vAlign w:val="center"/>
          </w:tcPr>
          <w:p w:rsidR="000C51A8" w:rsidRPr="00061252" w:rsidRDefault="000C51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0C51A8" w:rsidRPr="00061252" w:rsidTr="0027371B">
        <w:trPr>
          <w:trHeight w:val="47"/>
        </w:trPr>
        <w:tc>
          <w:tcPr>
            <w:tcW w:w="2397" w:type="dxa"/>
            <w:gridSpan w:val="13"/>
            <w:vAlign w:val="center"/>
          </w:tcPr>
          <w:p w:rsidR="000C51A8" w:rsidRPr="00FC7509" w:rsidRDefault="000C51A8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559" w:type="dxa"/>
            <w:gridSpan w:val="7"/>
            <w:vAlign w:val="center"/>
          </w:tcPr>
          <w:p w:rsidR="000C51A8" w:rsidRPr="00FC7509" w:rsidRDefault="000C51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662" w:type="dxa"/>
            <w:gridSpan w:val="27"/>
            <w:vAlign w:val="center"/>
          </w:tcPr>
          <w:p w:rsidR="000C51A8" w:rsidRPr="00FB253D" w:rsidRDefault="000C51A8" w:rsidP="00FB253D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2C3CDD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06125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6125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Pr="00061252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Բերդ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քաղաքի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N</w:t>
      </w:r>
      <w:r w:rsidR="00F70BFB" w:rsidRPr="00F70BFB">
        <w:rPr>
          <w:rFonts w:ascii="Sylfaen" w:hAnsi="Sylfaen"/>
          <w:b w:val="0"/>
          <w:i w:val="0"/>
          <w:sz w:val="20"/>
          <w:u w:val="none"/>
          <w:lang w:val="en-US"/>
        </w:rPr>
        <w:t>3</w:t>
      </w:r>
      <w:r w:rsidR="00682172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մսուր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>-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մանկապարտեզ</w:t>
      </w:r>
      <w:r w:rsidRPr="00061252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» </w:t>
      </w:r>
      <w:r w:rsidRPr="00061252">
        <w:rPr>
          <w:rFonts w:ascii="Sylfaen" w:hAnsi="Sylfaen" w:cs="Sylfaen"/>
          <w:b w:val="0"/>
          <w:i w:val="0"/>
          <w:sz w:val="20"/>
          <w:u w:val="none"/>
          <w:lang w:val="hy-AM"/>
        </w:rPr>
        <w:t>ՀՈԱԿ</w:t>
      </w:r>
      <w:r w:rsidR="00937BD5"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-</w:t>
      </w:r>
      <w:r w:rsidR="00937BD5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</w:p>
    <w:p w:rsidR="008D2679" w:rsidRPr="002C3CDD" w:rsidRDefault="00335D62" w:rsidP="008D2679">
      <w:pPr>
        <w:ind w:firstLine="720"/>
        <w:jc w:val="center"/>
        <w:rPr>
          <w:rFonts w:ascii="Sylfaen" w:hAnsi="Sylfaen" w:cs="Sylfaen"/>
          <w:sz w:val="20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rFonts w:ascii="Sylfaen" w:hAnsi="Sylfaen" w:cs="Sylfaen"/>
          <w:sz w:val="20"/>
          <w:lang w:val="af-ZA"/>
        </w:rPr>
        <w:t>ՀՀ-ՏՄԲՔ- N</w:t>
      </w:r>
      <w:r w:rsidR="00F70BFB">
        <w:rPr>
          <w:rFonts w:ascii="Sylfaen" w:hAnsi="Sylfaen" w:cs="Sylfaen"/>
          <w:sz w:val="20"/>
        </w:rPr>
        <w:t>3</w:t>
      </w:r>
      <w:r w:rsidR="000C2913">
        <w:rPr>
          <w:rFonts w:ascii="Sylfaen" w:hAnsi="Sylfaen" w:cs="Sylfaen"/>
          <w:sz w:val="20"/>
        </w:rPr>
        <w:t>-</w:t>
      </w:r>
      <w:r w:rsidR="008D2679" w:rsidRPr="008D2679">
        <w:rPr>
          <w:rFonts w:ascii="Sylfaen" w:hAnsi="Sylfaen" w:cs="Sylfaen"/>
          <w:sz w:val="20"/>
          <w:lang w:val="af-ZA"/>
        </w:rPr>
        <w:t xml:space="preserve"> ՄՀՈԱԿ-ՇՀԱՊՁԲ-1</w:t>
      </w:r>
      <w:r w:rsidR="00E66716">
        <w:rPr>
          <w:rFonts w:ascii="Sylfaen" w:hAnsi="Sylfaen" w:cs="Sylfaen"/>
          <w:sz w:val="20"/>
          <w:lang w:val="af-ZA"/>
        </w:rPr>
        <w:t>5</w:t>
      </w:r>
      <w:r w:rsidR="008D2679" w:rsidRPr="008D2679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0C51A8">
        <w:rPr>
          <w:rFonts w:ascii="Sylfaen" w:hAnsi="Sylfaen" w:cs="Sylfaen"/>
          <w:sz w:val="20"/>
          <w:lang w:val="af-ZA"/>
        </w:rPr>
        <w:t>7</w:t>
      </w:r>
      <w:r w:rsidR="00FB253D">
        <w:rPr>
          <w:rFonts w:ascii="Sylfaen" w:hAnsi="Sylfaen" w:cs="Sylfaen"/>
          <w:sz w:val="20"/>
          <w:lang w:val="af-ZA"/>
        </w:rPr>
        <w:t>-0</w:t>
      </w:r>
      <w:r w:rsidR="000C51A8">
        <w:rPr>
          <w:rFonts w:ascii="Sylfaen" w:hAnsi="Sylfaen" w:cs="Sylfaen"/>
          <w:sz w:val="20"/>
          <w:lang w:val="af-ZA"/>
        </w:rPr>
        <w:t>1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335D62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09" w:rsidRDefault="003F5209" w:rsidP="00C446DF">
      <w:r>
        <w:separator/>
      </w:r>
    </w:p>
  </w:endnote>
  <w:endnote w:type="continuationSeparator" w:id="0">
    <w:p w:rsidR="003F5209" w:rsidRDefault="003F5209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8" w:rsidRDefault="00A2247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2478" w:rsidRDefault="00A2247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8" w:rsidRDefault="00A2247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51A8">
      <w:rPr>
        <w:rStyle w:val="ab"/>
        <w:noProof/>
      </w:rPr>
      <w:t>1</w:t>
    </w:r>
    <w:r>
      <w:rPr>
        <w:rStyle w:val="ab"/>
      </w:rPr>
      <w:fldChar w:fldCharType="end"/>
    </w:r>
  </w:p>
  <w:p w:rsidR="00A22478" w:rsidRDefault="00A2247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09" w:rsidRDefault="003F5209" w:rsidP="00C446DF">
      <w:r>
        <w:separator/>
      </w:r>
    </w:p>
  </w:footnote>
  <w:footnote w:type="continuationSeparator" w:id="0">
    <w:p w:rsidR="003F5209" w:rsidRDefault="003F5209" w:rsidP="00C446DF">
      <w:r>
        <w:continuationSeparator/>
      </w:r>
    </w:p>
  </w:footnote>
  <w:footnote w:id="1">
    <w:p w:rsidR="00A22478" w:rsidRDefault="00A22478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22478" w:rsidRDefault="00A2247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A22478" w:rsidRDefault="00A2247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0C51A8" w:rsidRPr="0069647B" w:rsidRDefault="000C51A8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0C51A8" w:rsidRPr="0069647B" w:rsidRDefault="000C51A8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0C51A8" w:rsidRDefault="000C51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0C51A8" w:rsidRDefault="000C51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0C51A8" w:rsidRDefault="000C51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0C51A8" w:rsidRDefault="000C51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0C51A8" w:rsidRDefault="000C51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0C51A8" w:rsidRDefault="000C51A8" w:rsidP="000C51A8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8696F"/>
    <w:rsid w:val="000A6C78"/>
    <w:rsid w:val="000C108A"/>
    <w:rsid w:val="000C2913"/>
    <w:rsid w:val="000C37FF"/>
    <w:rsid w:val="000C51A8"/>
    <w:rsid w:val="000E7663"/>
    <w:rsid w:val="000F05A8"/>
    <w:rsid w:val="00150266"/>
    <w:rsid w:val="00161FA0"/>
    <w:rsid w:val="00183611"/>
    <w:rsid w:val="00187D1E"/>
    <w:rsid w:val="001B1B1C"/>
    <w:rsid w:val="001B3F15"/>
    <w:rsid w:val="001B6C6B"/>
    <w:rsid w:val="0027371B"/>
    <w:rsid w:val="002A2A5D"/>
    <w:rsid w:val="002C3CDD"/>
    <w:rsid w:val="0031364D"/>
    <w:rsid w:val="00322030"/>
    <w:rsid w:val="00335D62"/>
    <w:rsid w:val="00354063"/>
    <w:rsid w:val="00397323"/>
    <w:rsid w:val="003B4BE4"/>
    <w:rsid w:val="003F5209"/>
    <w:rsid w:val="004167B7"/>
    <w:rsid w:val="00464370"/>
    <w:rsid w:val="004C1949"/>
    <w:rsid w:val="00520B15"/>
    <w:rsid w:val="005234DB"/>
    <w:rsid w:val="00540DC8"/>
    <w:rsid w:val="00561999"/>
    <w:rsid w:val="00584282"/>
    <w:rsid w:val="005A2211"/>
    <w:rsid w:val="005A45F1"/>
    <w:rsid w:val="005D4A7E"/>
    <w:rsid w:val="005F241B"/>
    <w:rsid w:val="00611BE7"/>
    <w:rsid w:val="006323C7"/>
    <w:rsid w:val="00637E87"/>
    <w:rsid w:val="00682172"/>
    <w:rsid w:val="00683AD1"/>
    <w:rsid w:val="0069647B"/>
    <w:rsid w:val="006C15DD"/>
    <w:rsid w:val="00754C69"/>
    <w:rsid w:val="00767252"/>
    <w:rsid w:val="007B5C9D"/>
    <w:rsid w:val="007C18E0"/>
    <w:rsid w:val="007E7F65"/>
    <w:rsid w:val="007F1EA8"/>
    <w:rsid w:val="008204D9"/>
    <w:rsid w:val="008C0A8C"/>
    <w:rsid w:val="008D2679"/>
    <w:rsid w:val="008E45E5"/>
    <w:rsid w:val="00937BD5"/>
    <w:rsid w:val="00951B1B"/>
    <w:rsid w:val="009566B8"/>
    <w:rsid w:val="0098100E"/>
    <w:rsid w:val="009B62F2"/>
    <w:rsid w:val="00A03536"/>
    <w:rsid w:val="00A22478"/>
    <w:rsid w:val="00A57952"/>
    <w:rsid w:val="00AB4A7B"/>
    <w:rsid w:val="00AF2BAB"/>
    <w:rsid w:val="00B610C1"/>
    <w:rsid w:val="00B63F6F"/>
    <w:rsid w:val="00B757F2"/>
    <w:rsid w:val="00B959DC"/>
    <w:rsid w:val="00BA3256"/>
    <w:rsid w:val="00BB1D6F"/>
    <w:rsid w:val="00BC0787"/>
    <w:rsid w:val="00BD421A"/>
    <w:rsid w:val="00BF225C"/>
    <w:rsid w:val="00C06F3F"/>
    <w:rsid w:val="00C10180"/>
    <w:rsid w:val="00C15C5D"/>
    <w:rsid w:val="00C446DF"/>
    <w:rsid w:val="00C47BD6"/>
    <w:rsid w:val="00C734E5"/>
    <w:rsid w:val="00CA28FC"/>
    <w:rsid w:val="00CA55A0"/>
    <w:rsid w:val="00CC195B"/>
    <w:rsid w:val="00CF29F3"/>
    <w:rsid w:val="00D15E58"/>
    <w:rsid w:val="00D31F16"/>
    <w:rsid w:val="00D83B65"/>
    <w:rsid w:val="00DE65AD"/>
    <w:rsid w:val="00DE735D"/>
    <w:rsid w:val="00E16018"/>
    <w:rsid w:val="00E34C9F"/>
    <w:rsid w:val="00E66716"/>
    <w:rsid w:val="00E71B9E"/>
    <w:rsid w:val="00EB1310"/>
    <w:rsid w:val="00F36269"/>
    <w:rsid w:val="00F70BFB"/>
    <w:rsid w:val="00F87C58"/>
    <w:rsid w:val="00FA70AD"/>
    <w:rsid w:val="00FB253D"/>
    <w:rsid w:val="00FB5979"/>
    <w:rsid w:val="00FC5224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FC52-2612-4B83-A182-BB19E699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35</cp:revision>
  <cp:lastPrinted>2015-01-27T11:50:00Z</cp:lastPrinted>
  <dcterms:created xsi:type="dcterms:W3CDTF">2013-03-06T09:06:00Z</dcterms:created>
  <dcterms:modified xsi:type="dcterms:W3CDTF">2017-01-11T08:39:00Z</dcterms:modified>
</cp:coreProperties>
</file>