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8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828"/>
        <w:gridCol w:w="900"/>
        <w:gridCol w:w="396"/>
        <w:gridCol w:w="16"/>
        <w:gridCol w:w="578"/>
        <w:gridCol w:w="270"/>
        <w:gridCol w:w="158"/>
        <w:gridCol w:w="652"/>
        <w:gridCol w:w="450"/>
        <w:gridCol w:w="329"/>
        <w:gridCol w:w="301"/>
        <w:gridCol w:w="540"/>
        <w:gridCol w:w="435"/>
        <w:gridCol w:w="1185"/>
        <w:gridCol w:w="30"/>
        <w:gridCol w:w="2191"/>
        <w:gridCol w:w="29"/>
        <w:gridCol w:w="16"/>
      </w:tblGrid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ԱՐԳԻ ԾԱԾԿԱԳԻՐԸ՝ </w:t>
            </w:r>
            <w:r w:rsidR="008652C4" w:rsidRPr="008652C4">
              <w:rPr>
                <w:rFonts w:ascii="GHEA Grapalat" w:hAnsi="GHEA Grapalat" w:cs="Sylfaen"/>
                <w:b/>
                <w:i/>
                <w:sz w:val="18"/>
                <w:lang w:val="af-ZA"/>
              </w:rPr>
              <w:t>ՀՊՏՀ-ՇՀԱՊՁԲ-15/12-17/2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693E9D" w:rsidRPr="00E627A7" w:rsidTr="009911AC">
        <w:trPr>
          <w:gridAfter w:val="1"/>
          <w:wAfter w:w="16" w:type="dxa"/>
          <w:trHeight w:val="319"/>
        </w:trPr>
        <w:tc>
          <w:tcPr>
            <w:tcW w:w="11970" w:type="dxa"/>
            <w:gridSpan w:val="22"/>
            <w:tcBorders>
              <w:top w:val="nil"/>
            </w:tcBorders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E80E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</w:t>
            </w:r>
            <w:r w:rsidR="008652C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</w:t>
            </w:r>
            <w:r w:rsidR="00E80E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-17/</w:t>
            </w:r>
            <w:r w:rsidR="008652C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93E9D" w:rsidRPr="00E627A7" w:rsidTr="009911AC">
        <w:trPr>
          <w:gridAfter w:val="1"/>
          <w:wAfter w:w="16" w:type="dxa"/>
          <w:trHeight w:val="192"/>
        </w:trPr>
        <w:tc>
          <w:tcPr>
            <w:tcW w:w="11970" w:type="dxa"/>
            <w:gridSpan w:val="22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693E9D" w:rsidRPr="00E627A7" w:rsidTr="009911AC">
        <w:trPr>
          <w:gridAfter w:val="1"/>
          <w:wAfter w:w="16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6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89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0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9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693E9D" w:rsidRPr="00E627A7" w:rsidTr="009911AC">
        <w:trPr>
          <w:gridAfter w:val="1"/>
          <w:wAfter w:w="16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9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9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652C4" w:rsidRPr="00700BD2" w:rsidTr="009911AC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8652C4" w:rsidRPr="00E627A7" w:rsidRDefault="008652C4" w:rsidP="008652C4">
            <w:pPr>
              <w:spacing w:before="240"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8652C4" w:rsidRPr="00700BD2" w:rsidRDefault="008652C4" w:rsidP="008652C4">
            <w:pPr>
              <w:spacing w:before="240"/>
              <w:jc w:val="center"/>
              <w:rPr>
                <w:rFonts w:ascii="Sylfaen" w:hAnsi="Sylfaen" w:cs="Calibri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Տեսահսկման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համակարգ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8652C4" w:rsidRPr="00A90BBF" w:rsidRDefault="008652C4" w:rsidP="00AB19E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0" w:type="dxa"/>
            <w:vAlign w:val="center"/>
          </w:tcPr>
          <w:p w:rsidR="008652C4" w:rsidRDefault="008652C4" w:rsidP="00AB19E6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8652C4" w:rsidRPr="00E627A7" w:rsidRDefault="008652C4" w:rsidP="008652C4">
            <w:pPr>
              <w:spacing w:before="240"/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8652C4" w:rsidRPr="00700BD2" w:rsidRDefault="008652C4" w:rsidP="008652C4">
            <w:pPr>
              <w:spacing w:before="240"/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20"/>
              </w:rPr>
              <w:t>5000000</w:t>
            </w:r>
          </w:p>
        </w:tc>
        <w:tc>
          <w:tcPr>
            <w:tcW w:w="1080" w:type="dxa"/>
            <w:gridSpan w:val="3"/>
            <w:vAlign w:val="center"/>
          </w:tcPr>
          <w:p w:rsidR="008652C4" w:rsidRPr="00700BD2" w:rsidRDefault="008652C4" w:rsidP="008652C4">
            <w:pPr>
              <w:spacing w:before="240"/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20"/>
              </w:rPr>
              <w:t>5000000</w:t>
            </w:r>
          </w:p>
        </w:tc>
        <w:tc>
          <w:tcPr>
            <w:tcW w:w="2190" w:type="dxa"/>
            <w:gridSpan w:val="4"/>
            <w:vAlign w:val="center"/>
          </w:tcPr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</w:pP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/>
              </w:rPr>
              <w:t>Տեսախցիկ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 xml:space="preserve"> (8 </w:t>
            </w:r>
            <w:proofErr w:type="spellStart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հատ</w:t>
            </w:r>
            <w:proofErr w:type="spellEnd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):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</w:rPr>
            </w:pP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Արտաքին գունավոր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HD որակի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տեսախցիկ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GEN II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սերիայի, մատրիցան ա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 xml:space="preserve">ռնվազն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2.4Megapixel CMOS, գ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իշեր/ցերեկ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 xml:space="preserve">Auto(ICR),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մինչեւ 60 մ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 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Smart ի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նֆրակարմիր լուսավորմամբ,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0.01Lux@F1.2(AGC ON), 0Lux IR on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լուսազգայունությամբ, վարիֆոկալ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2.7-12 մմ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օբյեկտիվով,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IP66,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  AWB, AGC, BLC, 3D-DNR, OSD-меню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</w:rPr>
            </w:pP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/>
              </w:rPr>
              <w:t>Տեսախցիկ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 xml:space="preserve"> (18 </w:t>
            </w:r>
            <w:proofErr w:type="spellStart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հատ</w:t>
            </w:r>
            <w:proofErr w:type="spellEnd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):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</w:rPr>
            </w:pP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Արտաքին գունավոր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HD որակի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տեսախցիկ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GEN II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սերիայի, մատրիցան ա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 xml:space="preserve">ռնվազն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2.4Megapixel CMOS, գ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իշեր/ցերեկ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 xml:space="preserve">Auto(ICR),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մինչեւ 30 մ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 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Smart ի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նֆրակարմիր լուսավորմամբ,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0.01Lux@F1.2(AGC ON), 0Lux IR on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լուսազգայունությամբ,  ֆիքսած 3,6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մմ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օբյեկտիվով,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IP66,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  AWB, AGC, BLC, 3D-DNR, OSD-меню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</w:rPr>
            </w:pPr>
            <w:r w:rsidRPr="008652C4">
              <w:rPr>
                <w:rFonts w:ascii="Sylfaen" w:eastAsia="Times New Roman" w:hAnsi="Sylfaen" w:cs="Times New Roman"/>
                <w:b/>
                <w:color w:val="000000"/>
                <w:sz w:val="16"/>
                <w:u w:val="single"/>
                <w:shd w:val="clear" w:color="auto" w:fill="FFFFFF"/>
                <w:lang w:val="hy-AM"/>
              </w:rPr>
              <w:t>Տեսագրիչ</w:t>
            </w:r>
            <w:r w:rsidRPr="008652C4">
              <w:rPr>
                <w:rFonts w:ascii="Sylfaen" w:eastAsia="Times New Roman" w:hAnsi="Sylfaen" w:cs="Times New Roman"/>
                <w:b/>
                <w:color w:val="000000"/>
                <w:sz w:val="16"/>
                <w:u w:val="single"/>
                <w:shd w:val="clear" w:color="auto" w:fill="FFFFFF"/>
              </w:rPr>
              <w:t xml:space="preserve"> 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(1հատ)</w:t>
            </w:r>
          </w:p>
          <w:p w:rsidR="008652C4" w:rsidRPr="008652C4" w:rsidRDefault="008652C4" w:rsidP="008652C4">
            <w:pPr>
              <w:shd w:val="clear" w:color="auto" w:fill="FFFFFF"/>
              <w:spacing w:before="240" w:line="225" w:lineRule="atLeast"/>
              <w:jc w:val="both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lastRenderedPageBreak/>
              <w:t xml:space="preserve">Առնվազն  32 մուտքանի HD որակի տեսախցիկների ազդանշանը  մինչեւ </w:t>
            </w:r>
            <w:r w:rsidRPr="008652C4">
              <w:rPr>
                <w:rFonts w:ascii="Sylfaen" w:eastAsia="Times New Roman" w:hAnsi="Sylfaen" w:cs="Times New Roman"/>
                <w:bCs/>
                <w:color w:val="FF0000"/>
                <w:sz w:val="16"/>
                <w:szCs w:val="18"/>
                <w:lang w:val="hy-AM" w:eastAsia="ru-RU"/>
              </w:rPr>
              <w:t>1080P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որակով տեսագրելու համար նախատեսված սարք, առնվազն 2հատ մինչեւ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 xml:space="preserve"> 12 Тb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SATA կ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ոշտ սկավառակի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հետ աշխատելու հնարավորություն</w:t>
            </w:r>
          </w:p>
          <w:p w:rsidR="008652C4" w:rsidRPr="008652C4" w:rsidRDefault="008652C4" w:rsidP="008652C4">
            <w:pPr>
              <w:shd w:val="clear" w:color="auto" w:fill="FFFFFF"/>
              <w:spacing w:before="240" w:line="225" w:lineRule="atLeast"/>
              <w:jc w:val="both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VGA, HDMI, TV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տեսաազդանշանի ելքերով</w:t>
            </w:r>
          </w:p>
          <w:p w:rsidR="008652C4" w:rsidRPr="008652C4" w:rsidRDefault="008652C4" w:rsidP="008652C4">
            <w:pPr>
              <w:shd w:val="clear" w:color="auto" w:fill="FFFFFF"/>
              <w:spacing w:before="240" w:line="225" w:lineRule="atLeast"/>
              <w:jc w:val="both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Միաժամանակ անալոգային, HD եւ IP տեսախցիկների հետ աշխատելու հնարավորությամբ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</w:pP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iOS, Android, Windows Phone օպերացիոն համակարգերով հեռախոսների հետ աշխատելու հնարավորություն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/>
                <w:bCs/>
                <w:sz w:val="16"/>
                <w:u w:val="single"/>
                <w:lang w:val="hy-AM" w:eastAsia="ru-RU"/>
              </w:rPr>
              <w:t>Կ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  <w:t>ոշտ սկավառակ (2 հատ)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SATA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HDD 4Tb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/>
                <w:color w:val="000000"/>
                <w:sz w:val="16"/>
                <w:u w:val="single"/>
                <w:lang w:val="hy-AM"/>
              </w:rPr>
              <w:t xml:space="preserve">Սնուցման սարք 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  <w:t>(8 հատ)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8"/>
                <w:lang w:val="hy-AM"/>
              </w:rPr>
            </w:pPr>
            <w:r w:rsidRPr="008652C4">
              <w:rPr>
                <w:rFonts w:ascii="Sylfaen" w:eastAsia="Times New Roman" w:hAnsi="Sylfaen" w:cs="Times New Roman"/>
                <w:color w:val="000000"/>
                <w:sz w:val="16"/>
                <w:szCs w:val="18"/>
                <w:lang w:val="hy-AM"/>
              </w:rPr>
              <w:t>Սնուցման սարք 4 տեսախցիկի համար, հոսանքի տատանումնեից եւ կարճ միացումներից պաշտպանություն , հիմնական սնուցումը խափանվելու դեպքում տեսախցիկների անխափան աշխատանքը ապահովելու համար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</w:pP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/>
              </w:rPr>
              <w:t>Տեսաազդանշանի հաղորդման մոդուլներ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 xml:space="preserve"> 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  <w:t xml:space="preserve">(52 </w:t>
            </w:r>
            <w:proofErr w:type="spellStart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  <w:t>հատ</w:t>
            </w:r>
            <w:proofErr w:type="spellEnd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  <w:t>)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</w:rPr>
            </w:pP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ցանցային մալուխներով HD տեսաազդանշանը հաղորդող ինտերֆեյսային մոդուլներ` էլեկտրոմագնիսական ալիքներից առաջացող խափանումները չեզոքացնելու համար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</w:pPr>
            <w:proofErr w:type="spellStart"/>
            <w:r w:rsidRPr="008652C4">
              <w:rPr>
                <w:rFonts w:ascii="Sylfaen" w:eastAsia="Times New Roman" w:hAnsi="Sylfaen" w:cs="Sylfaen"/>
                <w:b/>
                <w:sz w:val="16"/>
                <w:u w:val="single"/>
              </w:rPr>
              <w:lastRenderedPageBreak/>
              <w:t>Ցանցային</w:t>
            </w:r>
            <w:proofErr w:type="spellEnd"/>
            <w:r w:rsidRPr="008652C4">
              <w:rPr>
                <w:rFonts w:ascii="GHEA Grapalat" w:eastAsia="Times New Roman" w:hAnsi="GHEA Grapalat" w:cs="Times New Roman"/>
                <w:b/>
                <w:sz w:val="16"/>
                <w:u w:val="single"/>
              </w:rPr>
              <w:t xml:space="preserve"> </w:t>
            </w:r>
            <w:r w:rsidRPr="008652C4">
              <w:rPr>
                <w:rFonts w:ascii="Sylfaen" w:eastAsia="Times New Roman" w:hAnsi="Sylfaen" w:cs="Sylfaen"/>
                <w:b/>
                <w:sz w:val="16"/>
                <w:u w:val="single"/>
                <w:lang w:val="hy-AM"/>
              </w:rPr>
              <w:t>մալուխ</w:t>
            </w:r>
            <w:r w:rsidRPr="008652C4">
              <w:rPr>
                <w:rFonts w:ascii="Sylfaen" w:eastAsia="Times New Roman" w:hAnsi="Sylfaen" w:cs="Sylfaen"/>
                <w:b/>
                <w:sz w:val="16"/>
                <w:u w:val="single"/>
              </w:rPr>
              <w:t xml:space="preserve"> 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  <w:t xml:space="preserve">(2000 </w:t>
            </w:r>
            <w:proofErr w:type="spellStart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  <w:t>մետր</w:t>
            </w:r>
            <w:proofErr w:type="spellEnd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  <w:t>)</w:t>
            </w:r>
          </w:p>
          <w:p w:rsidR="008652C4" w:rsidRPr="008652C4" w:rsidRDefault="008652C4" w:rsidP="008652C4">
            <w:pPr>
              <w:spacing w:before="240"/>
              <w:ind w:left="-78"/>
              <w:jc w:val="both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  <w:tc>
          <w:tcPr>
            <w:tcW w:w="2220" w:type="dxa"/>
            <w:gridSpan w:val="2"/>
            <w:vAlign w:val="center"/>
          </w:tcPr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</w:pP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/>
              </w:rPr>
              <w:lastRenderedPageBreak/>
              <w:t>Տեսախցիկ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 xml:space="preserve"> (8 </w:t>
            </w:r>
            <w:proofErr w:type="spellStart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հատ</w:t>
            </w:r>
            <w:proofErr w:type="spellEnd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):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</w:rPr>
            </w:pP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Արտաքին գունավոր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HD որակի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տեսախցիկ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GEN II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սերիայի, մատրիցան ա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 xml:space="preserve">ռնվազն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2.4Megapixel CMOS, գ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իշեր/ցերեկ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 xml:space="preserve">Auto(ICR),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մինչեւ 60 մ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 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Smart ի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նֆրակարմիր լուսավորմամբ,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0.01Lux@F1.2(AGC ON), 0Lux IR on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լուսազգայունությամբ, վարիֆոկալ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2.7-12 մմ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օբյեկտիվով,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IP66,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  AWB, AGC, BLC, 3D-DNR, OSD-меню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</w:rPr>
            </w:pP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/>
              </w:rPr>
              <w:t>Տեսախցիկ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 xml:space="preserve"> (18 </w:t>
            </w:r>
            <w:proofErr w:type="spellStart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հատ</w:t>
            </w:r>
            <w:proofErr w:type="spellEnd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):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</w:rPr>
            </w:pP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Արտաքին գունավոր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HD որակի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տեսախցիկ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GEN II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սերիայի, մատրիցան ա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 xml:space="preserve">ռնվազն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2.4Megapixel CMOS, գ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իշեր/ցերեկ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 xml:space="preserve">Auto(ICR),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մինչեւ 30 մ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 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Smart ի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նֆրակարմիր լուսավորմամբ,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0.01Lux@F1.2(AGC ON), 0Lux IR on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լուսազգայունությամբ,  ֆիքսած 3,6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մմ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օբյեկտիվով,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IP66,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  AWB, AGC, BLC, 3D-DNR, OSD-меню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</w:rPr>
            </w:pPr>
            <w:r w:rsidRPr="008652C4">
              <w:rPr>
                <w:rFonts w:ascii="Sylfaen" w:eastAsia="Times New Roman" w:hAnsi="Sylfaen" w:cs="Times New Roman"/>
                <w:b/>
                <w:color w:val="000000"/>
                <w:sz w:val="16"/>
                <w:u w:val="single"/>
                <w:shd w:val="clear" w:color="auto" w:fill="FFFFFF"/>
                <w:lang w:val="hy-AM"/>
              </w:rPr>
              <w:t>Տեսագրիչ</w:t>
            </w:r>
            <w:r w:rsidRPr="008652C4">
              <w:rPr>
                <w:rFonts w:ascii="Sylfaen" w:eastAsia="Times New Roman" w:hAnsi="Sylfaen" w:cs="Times New Roman"/>
                <w:b/>
                <w:color w:val="000000"/>
                <w:sz w:val="16"/>
                <w:u w:val="single"/>
                <w:shd w:val="clear" w:color="auto" w:fill="FFFFFF"/>
              </w:rPr>
              <w:t xml:space="preserve"> 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</w:rPr>
              <w:t>(1հատ)</w:t>
            </w:r>
          </w:p>
          <w:p w:rsidR="008652C4" w:rsidRPr="008652C4" w:rsidRDefault="008652C4" w:rsidP="008652C4">
            <w:pPr>
              <w:shd w:val="clear" w:color="auto" w:fill="FFFFFF"/>
              <w:spacing w:before="240" w:line="225" w:lineRule="atLeast"/>
              <w:jc w:val="both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Առնվազն  32 մուտքանի 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lastRenderedPageBreak/>
              <w:t xml:space="preserve">HD որակի տեսախցիկների ազդանշանը  մինչեւ </w:t>
            </w:r>
            <w:r w:rsidRPr="008652C4">
              <w:rPr>
                <w:rFonts w:ascii="Sylfaen" w:eastAsia="Times New Roman" w:hAnsi="Sylfaen" w:cs="Times New Roman"/>
                <w:bCs/>
                <w:color w:val="FF0000"/>
                <w:sz w:val="16"/>
                <w:szCs w:val="18"/>
                <w:lang w:val="hy-AM" w:eastAsia="ru-RU"/>
              </w:rPr>
              <w:t>1080P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որակով տեսագրելու համար նախատեսված սարք, առնվազն 2հատ մինչեւ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 xml:space="preserve"> 12 Тb</w:t>
            </w: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 SATA կ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ոշտ սկավառակի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հետ աշխատելու հնարավորություն</w:t>
            </w:r>
          </w:p>
          <w:p w:rsidR="008652C4" w:rsidRPr="008652C4" w:rsidRDefault="008652C4" w:rsidP="008652C4">
            <w:pPr>
              <w:shd w:val="clear" w:color="auto" w:fill="FFFFFF"/>
              <w:spacing w:before="240" w:line="225" w:lineRule="atLeast"/>
              <w:jc w:val="both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VGA, HDMI, TV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 xml:space="preserve"> տեսաազդանշանի ելքերով</w:t>
            </w:r>
          </w:p>
          <w:p w:rsidR="008652C4" w:rsidRPr="008652C4" w:rsidRDefault="008652C4" w:rsidP="008652C4">
            <w:pPr>
              <w:shd w:val="clear" w:color="auto" w:fill="FFFFFF"/>
              <w:spacing w:before="240" w:line="225" w:lineRule="atLeast"/>
              <w:jc w:val="both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>Միաժամանակ անալոգային, HD եւ IP տեսախցիկների հետ աշխատելու հնարավորությամբ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</w:pPr>
            <w:r w:rsidRPr="008652C4">
              <w:rPr>
                <w:rFonts w:ascii="Sylfaen" w:eastAsia="Times New Roman" w:hAnsi="Sylfaen" w:cs="Times New Roman"/>
                <w:sz w:val="16"/>
                <w:szCs w:val="18"/>
                <w:shd w:val="clear" w:color="auto" w:fill="FFFFFF"/>
                <w:lang w:val="hy-AM"/>
              </w:rPr>
              <w:t>iOS, Android, Windows Phone օպերացիոն համակարգերով հեռախոսների հետ աշխատելու հնարավորություն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/>
                <w:bCs/>
                <w:sz w:val="16"/>
                <w:u w:val="single"/>
                <w:lang w:val="hy-AM" w:eastAsia="ru-RU"/>
              </w:rPr>
              <w:t>Կ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  <w:t>ոշտ սկավառակ (2 հատ)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Cs/>
                <w:sz w:val="16"/>
                <w:szCs w:val="18"/>
                <w:lang w:val="hy-AM" w:eastAsia="ru-RU"/>
              </w:rPr>
              <w:t xml:space="preserve">SATA </w:t>
            </w: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HDD 4Tb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/>
                <w:color w:val="000000"/>
                <w:sz w:val="16"/>
                <w:u w:val="single"/>
                <w:lang w:val="hy-AM"/>
              </w:rPr>
              <w:t xml:space="preserve">Սնուցման սարք 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  <w:t>(8 հատ)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8"/>
                <w:lang w:val="hy-AM"/>
              </w:rPr>
            </w:pPr>
            <w:r w:rsidRPr="008652C4">
              <w:rPr>
                <w:rFonts w:ascii="Sylfaen" w:eastAsia="Times New Roman" w:hAnsi="Sylfaen" w:cs="Times New Roman"/>
                <w:color w:val="000000"/>
                <w:sz w:val="16"/>
                <w:szCs w:val="18"/>
                <w:lang w:val="hy-AM"/>
              </w:rPr>
              <w:t>Սնուցման սարք 4 տեսախցիկի համար, հոսանքի տատանումնեից եւ կարճ միացումներից պաշտպանություն , հիմնական սնուցումը խափանվելու դեպքում տեսախցիկների անխափան աշխատանքը ապահովելու համար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</w:pP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/>
              </w:rPr>
              <w:t xml:space="preserve">Տեսաազդանշանի հաղորդման մոդուլներ 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val="hy-AM" w:eastAsia="ru-RU"/>
              </w:rPr>
              <w:t>(52 հատ)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</w:pPr>
            <w:r w:rsidRPr="008652C4">
              <w:rPr>
                <w:rFonts w:ascii="Sylfaen" w:eastAsia="Times New Roman" w:hAnsi="Sylfaen" w:cs="Times New Roman"/>
                <w:sz w:val="16"/>
                <w:szCs w:val="18"/>
                <w:lang w:val="hy-AM"/>
              </w:rPr>
              <w:t>ցանցային մալուխներով HD տեսաազդանշանը հաղորդող ինտերֆեյսային մոդուլներ` էլեկտրոմագնիսական ալիքներից առաջացող խափանումները չեզոքացնելու համար</w:t>
            </w:r>
          </w:p>
          <w:p w:rsidR="008652C4" w:rsidRPr="008652C4" w:rsidRDefault="008652C4" w:rsidP="008652C4">
            <w:pPr>
              <w:spacing w:before="240"/>
              <w:jc w:val="both"/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</w:pPr>
            <w:proofErr w:type="spellStart"/>
            <w:r w:rsidRPr="008652C4">
              <w:rPr>
                <w:rFonts w:ascii="Sylfaen" w:eastAsia="Times New Roman" w:hAnsi="Sylfaen" w:cs="Sylfaen"/>
                <w:b/>
                <w:sz w:val="16"/>
                <w:u w:val="single"/>
              </w:rPr>
              <w:t>Ցանցային</w:t>
            </w:r>
            <w:proofErr w:type="spellEnd"/>
            <w:r w:rsidRPr="008652C4">
              <w:rPr>
                <w:rFonts w:ascii="GHEA Grapalat" w:eastAsia="Times New Roman" w:hAnsi="GHEA Grapalat" w:cs="Times New Roman"/>
                <w:b/>
                <w:sz w:val="16"/>
                <w:u w:val="single"/>
              </w:rPr>
              <w:t xml:space="preserve"> </w:t>
            </w:r>
            <w:r w:rsidRPr="008652C4">
              <w:rPr>
                <w:rFonts w:ascii="Sylfaen" w:eastAsia="Times New Roman" w:hAnsi="Sylfaen" w:cs="Sylfaen"/>
                <w:b/>
                <w:sz w:val="16"/>
                <w:u w:val="single"/>
                <w:lang w:val="hy-AM"/>
              </w:rPr>
              <w:t>մալուխ</w:t>
            </w:r>
            <w:r w:rsidRPr="008652C4">
              <w:rPr>
                <w:rFonts w:ascii="Sylfaen" w:eastAsia="Times New Roman" w:hAnsi="Sylfaen" w:cs="Sylfaen"/>
                <w:b/>
                <w:sz w:val="16"/>
                <w:u w:val="single"/>
              </w:rPr>
              <w:t xml:space="preserve"> </w:t>
            </w:r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  <w:t xml:space="preserve">(2000 </w:t>
            </w:r>
            <w:proofErr w:type="spellStart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  <w:t>մետր</w:t>
            </w:r>
            <w:proofErr w:type="spellEnd"/>
            <w:r w:rsidRPr="008652C4">
              <w:rPr>
                <w:rFonts w:ascii="Sylfaen" w:eastAsia="Times New Roman" w:hAnsi="Sylfaen" w:cs="Times New Roman"/>
                <w:b/>
                <w:sz w:val="16"/>
                <w:u w:val="single"/>
                <w:lang w:eastAsia="ru-RU"/>
              </w:rPr>
              <w:t>)</w:t>
            </w:r>
          </w:p>
          <w:p w:rsidR="008652C4" w:rsidRPr="008652C4" w:rsidRDefault="008652C4" w:rsidP="008652C4">
            <w:pPr>
              <w:spacing w:before="240"/>
              <w:ind w:left="-78"/>
              <w:jc w:val="both"/>
              <w:rPr>
                <w:rFonts w:ascii="Sylfaen" w:hAnsi="Sylfaen"/>
                <w:bCs/>
                <w:color w:val="0D0D0D"/>
                <w:sz w:val="16"/>
                <w:szCs w:val="20"/>
              </w:rPr>
            </w:pPr>
          </w:p>
        </w:tc>
      </w:tr>
      <w:tr w:rsidR="008652C4" w:rsidRPr="008652C4" w:rsidTr="009911AC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8652C4" w:rsidRDefault="008652C4" w:rsidP="008652C4">
            <w:pPr>
              <w:spacing w:before="24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36" w:type="dxa"/>
            <w:gridSpan w:val="3"/>
            <w:vAlign w:val="center"/>
          </w:tcPr>
          <w:p w:rsidR="008652C4" w:rsidRDefault="008652C4" w:rsidP="008652C4">
            <w:pPr>
              <w:spacing w:before="240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Տերմինալ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հերթերի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համակարգի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8652C4" w:rsidRPr="00DC0801" w:rsidRDefault="008652C4" w:rsidP="00AB19E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կոմպլեկտ</w:t>
            </w:r>
            <w:proofErr w:type="spellEnd"/>
          </w:p>
        </w:tc>
        <w:tc>
          <w:tcPr>
            <w:tcW w:w="900" w:type="dxa"/>
            <w:vAlign w:val="center"/>
          </w:tcPr>
          <w:p w:rsidR="008652C4" w:rsidRPr="00DC0801" w:rsidRDefault="008652C4" w:rsidP="00AB19E6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1</w:t>
            </w:r>
          </w:p>
        </w:tc>
        <w:tc>
          <w:tcPr>
            <w:tcW w:w="990" w:type="dxa"/>
            <w:gridSpan w:val="3"/>
            <w:vAlign w:val="center"/>
          </w:tcPr>
          <w:p w:rsidR="008652C4" w:rsidRPr="00E627A7" w:rsidRDefault="008652C4" w:rsidP="008652C4">
            <w:pPr>
              <w:spacing w:before="240"/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 w:rsidRPr="008652C4">
              <w:rPr>
                <w:rFonts w:ascii="Times LatArm" w:hAnsi="Times LatArm" w:cs="Calibri"/>
                <w:szCs w:val="24"/>
              </w:rPr>
              <w:t>1</w:t>
            </w:r>
          </w:p>
        </w:tc>
        <w:tc>
          <w:tcPr>
            <w:tcW w:w="1080" w:type="dxa"/>
            <w:gridSpan w:val="3"/>
            <w:vAlign w:val="center"/>
          </w:tcPr>
          <w:p w:rsidR="008652C4" w:rsidRPr="00700BD2" w:rsidRDefault="008652C4" w:rsidP="008652C4">
            <w:pPr>
              <w:spacing w:before="240"/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20"/>
              </w:rPr>
              <w:t>1500000</w:t>
            </w:r>
          </w:p>
        </w:tc>
        <w:tc>
          <w:tcPr>
            <w:tcW w:w="1080" w:type="dxa"/>
            <w:gridSpan w:val="3"/>
            <w:vAlign w:val="center"/>
          </w:tcPr>
          <w:p w:rsidR="008652C4" w:rsidRPr="00700BD2" w:rsidRDefault="008652C4" w:rsidP="008652C4">
            <w:pPr>
              <w:spacing w:before="240"/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20"/>
              </w:rPr>
              <w:t>1500000</w:t>
            </w:r>
          </w:p>
        </w:tc>
        <w:tc>
          <w:tcPr>
            <w:tcW w:w="2190" w:type="dxa"/>
            <w:gridSpan w:val="4"/>
            <w:vAlign w:val="center"/>
          </w:tcPr>
          <w:p w:rsidR="008652C4" w:rsidRPr="008652C4" w:rsidRDefault="008652C4" w:rsidP="008652C4">
            <w:pPr>
              <w:shd w:val="clear" w:color="auto" w:fill="FFFFFF"/>
              <w:spacing w:before="240" w:after="200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23"/>
                <w:u w:val="single"/>
              </w:rPr>
            </w:pP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23"/>
                <w:u w:val="single"/>
                <w:lang w:val="hy-AM"/>
              </w:rPr>
              <w:t>Սարքավորումների</w:t>
            </w: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23"/>
                <w:u w:val="single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23"/>
                <w:u w:val="single"/>
                <w:lang w:val="hy-AM"/>
              </w:rPr>
              <w:t>աշխատանքի սկզբունքը</w:t>
            </w:r>
          </w:p>
          <w:p w:rsidR="008652C4" w:rsidRPr="008652C4" w:rsidRDefault="008652C4" w:rsidP="008652C4">
            <w:pPr>
              <w:shd w:val="clear" w:color="auto" w:fill="FFFFFF"/>
              <w:spacing w:before="240" w:after="200"/>
              <w:jc w:val="both"/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</w:pP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ru-RU"/>
              </w:rPr>
              <w:t>Անհրաժեշտ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ru-RU"/>
              </w:rPr>
              <w:t>է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 xml:space="preserve">կտրոնների </w:t>
            </w: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18"/>
                <w:u w:val="single"/>
                <w:lang w:val="hy-AM"/>
              </w:rPr>
              <w:t>2</w:t>
            </w: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18"/>
                <w:u w:val="single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18"/>
                <w:u w:val="single"/>
                <w:lang w:val="hy-AM"/>
              </w:rPr>
              <w:t>տերմինալ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>։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>Ադմինիստրատորը վեբ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-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 xml:space="preserve">ինտերֆեյսի միջոցով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միանում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>է սարքին և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ստեղծում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քննությունների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միաժամանակյա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սպասարկումը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ապահովող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հերթականություն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,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այսինքն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՝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ru-RU"/>
              </w:rPr>
              <w:t>ստեղծում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ru-RU"/>
              </w:rPr>
              <w:t>է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նույն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ժամանակահատվածում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մի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քանի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տարբեր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քննություններ</w:t>
            </w:r>
            <w:proofErr w:type="spellEnd"/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ru-RU"/>
              </w:rPr>
              <w:t>ի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ru-RU"/>
              </w:rPr>
              <w:t>հերթագրվելու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ru-RU"/>
              </w:rPr>
              <w:t>հնարավորություն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: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>Օգտագործողը սե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>ղ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>մում է երկու տերմինալներից ցանկացածի էկրանի կոճակը և ստանում  կտրոն, որի վրա նշված կլինի պատահական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ru-RU"/>
              </w:rPr>
              <w:t>ության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ru-RU"/>
              </w:rPr>
              <w:t>սկզբունքով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</w:rPr>
              <w:t xml:space="preserve">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 xml:space="preserve">ընտրված սեղանի համարը։ Եթե երկու սարքավորուներն օգտագործվում են միաժամանակ , ապա մի սարքով տրված համարները չպետք է տրամադրվեն մյուս սարքի կողմից: </w:t>
            </w:r>
          </w:p>
          <w:p w:rsidR="008652C4" w:rsidRPr="008652C4" w:rsidRDefault="008652C4" w:rsidP="008652C4">
            <w:pPr>
              <w:shd w:val="clear" w:color="auto" w:fill="FFFFFF"/>
              <w:spacing w:before="240" w:after="200"/>
              <w:jc w:val="both"/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</w:pP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23"/>
                <w:lang w:val="hy-AM"/>
              </w:rPr>
              <w:t>Պահանջները</w:t>
            </w:r>
          </w:p>
          <w:p w:rsidR="008652C4" w:rsidRPr="008652C4" w:rsidRDefault="008652C4" w:rsidP="008652C4">
            <w:pPr>
              <w:shd w:val="clear" w:color="auto" w:fill="FFFFFF"/>
              <w:spacing w:before="240" w:after="200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hy-AM"/>
              </w:rPr>
            </w:pP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>Տերմինալները պետք է տեղադրվեն սեղանին: Անհրաժեշտ է, որ հնարավոր լինի տերմինալներն օգտագործել ինչպես առանձին-առանձին, այնպես էլ ապահովել երկու տերմինալների համաժամանակյա աշխատանքը: Երկու տերմինալների միջև կապը պետք է ապահովվի Wi-Fi-ի միջոցով:</w:t>
            </w:r>
          </w:p>
          <w:p w:rsidR="008652C4" w:rsidRPr="008652C4" w:rsidRDefault="008652C4" w:rsidP="008652C4">
            <w:pPr>
              <w:spacing w:before="240"/>
              <w:ind w:left="-78"/>
              <w:jc w:val="both"/>
              <w:rPr>
                <w:rFonts w:ascii="Sylfaen" w:hAnsi="Sylfaen"/>
                <w:bCs/>
                <w:color w:val="0D0D0D"/>
                <w:sz w:val="16"/>
                <w:szCs w:val="20"/>
                <w:lang w:val="hy-AM"/>
              </w:rPr>
            </w:pP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 xml:space="preserve">Տպիչի թուղթը պետք է հնարավոր լինել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lastRenderedPageBreak/>
              <w:t>փոխել  առաց սարքավորման իրանը բացելու: Էլեկտրասնուցման խափանման դեպքում պետք է բացառել տվյալների կորուստը</w:t>
            </w:r>
          </w:p>
        </w:tc>
        <w:tc>
          <w:tcPr>
            <w:tcW w:w="2220" w:type="dxa"/>
            <w:gridSpan w:val="2"/>
            <w:vAlign w:val="center"/>
          </w:tcPr>
          <w:p w:rsidR="008652C4" w:rsidRPr="008652C4" w:rsidRDefault="008652C4" w:rsidP="008652C4">
            <w:pPr>
              <w:shd w:val="clear" w:color="auto" w:fill="FFFFFF"/>
              <w:spacing w:before="240" w:after="200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23"/>
                <w:u w:val="single"/>
                <w:lang w:val="hy-AM"/>
              </w:rPr>
            </w:pP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23"/>
                <w:u w:val="single"/>
                <w:lang w:val="hy-AM"/>
              </w:rPr>
              <w:lastRenderedPageBreak/>
              <w:t>Սարքավորումների աշխատանքի սկզբունքը</w:t>
            </w:r>
          </w:p>
          <w:p w:rsidR="008652C4" w:rsidRPr="008652C4" w:rsidRDefault="008652C4" w:rsidP="008652C4">
            <w:pPr>
              <w:shd w:val="clear" w:color="auto" w:fill="FFFFFF"/>
              <w:spacing w:before="240" w:after="200"/>
              <w:jc w:val="both"/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</w:pP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 xml:space="preserve">Անհրաժեշտ է կտրոնների </w:t>
            </w: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18"/>
                <w:u w:val="single"/>
                <w:lang w:val="hy-AM"/>
              </w:rPr>
              <w:t>2 տերմինալ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 xml:space="preserve">։ Ադմինիստրատորը վեբ-ինտերֆեյսի միջոցով միանում է սարքին և ստեղծում քննությունների միաժամանակյա սպասարկումը ապահովող հերթականություն, այսինքն՝ ստեղծում է նույն ժամանակահատվածում մի քանի տարբեր քննությունների հերթագրվելու հնարավորություն: Օգտագործողը սեղմում է երկու տերմինալներից ցանկացածի էկրանի կոճակը և ստանում  կտրոն, որի վրա նշված կլինի պատահականության սկզբունքով ընտրված սեղանի համարը։ Եթե երկու սարքավորուներն օգտագործվում են միաժամանակ , ապա մի սարքով տրված համարները չպետք է տրամադրվեն մյուս սարքի կողմից: </w:t>
            </w:r>
          </w:p>
          <w:p w:rsidR="008652C4" w:rsidRPr="008652C4" w:rsidRDefault="008652C4" w:rsidP="008652C4">
            <w:pPr>
              <w:shd w:val="clear" w:color="auto" w:fill="FFFFFF"/>
              <w:spacing w:before="240" w:after="200"/>
              <w:jc w:val="both"/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</w:pPr>
            <w:r w:rsidRPr="008652C4">
              <w:rPr>
                <w:rFonts w:ascii="Sylfaen" w:eastAsia="Times New Roman" w:hAnsi="Sylfaen" w:cs="Arial"/>
                <w:b/>
                <w:color w:val="000000"/>
                <w:sz w:val="16"/>
                <w:szCs w:val="23"/>
                <w:lang w:val="hy-AM"/>
              </w:rPr>
              <w:t>Պահանջները</w:t>
            </w:r>
          </w:p>
          <w:p w:rsidR="008652C4" w:rsidRPr="008652C4" w:rsidRDefault="008652C4" w:rsidP="008652C4">
            <w:pPr>
              <w:shd w:val="clear" w:color="auto" w:fill="FFFFFF"/>
              <w:spacing w:before="240" w:after="200"/>
              <w:jc w:val="both"/>
              <w:rPr>
                <w:rFonts w:ascii="Arial" w:eastAsia="Times New Roman" w:hAnsi="Arial" w:cs="Arial"/>
                <w:color w:val="000000"/>
                <w:sz w:val="16"/>
                <w:szCs w:val="18"/>
                <w:lang w:val="hy-AM"/>
              </w:rPr>
            </w:pP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>Տերմինալները պետք է տեղադրվեն սեղանին: Անհրաժեշտ է, որ հնարավոր լինի տերմինալներն օգտագործել ինչպես առանձին-առանձին, այնպես էլ ապահովել երկու տերմինալների համաժամանակյա աշխատանքը: Երկու տերմինալների միջև կապը պետք է ապահովվի Wi-Fi-ի միջոցով:</w:t>
            </w:r>
          </w:p>
          <w:p w:rsidR="008652C4" w:rsidRPr="008652C4" w:rsidRDefault="008652C4" w:rsidP="008652C4">
            <w:pPr>
              <w:spacing w:before="240"/>
              <w:ind w:left="-78"/>
              <w:jc w:val="both"/>
              <w:rPr>
                <w:rFonts w:ascii="Sylfaen" w:hAnsi="Sylfaen"/>
                <w:bCs/>
                <w:color w:val="0D0D0D"/>
                <w:sz w:val="16"/>
                <w:szCs w:val="20"/>
                <w:lang w:val="hy-AM"/>
              </w:rPr>
            </w:pP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t xml:space="preserve">Տպիչի թուղթը պետք է հնարավոր լինել </w:t>
            </w:r>
            <w:r w:rsidRPr="008652C4">
              <w:rPr>
                <w:rFonts w:ascii="Sylfaen" w:eastAsia="Times New Roman" w:hAnsi="Sylfaen" w:cs="Arial"/>
                <w:color w:val="000000"/>
                <w:sz w:val="16"/>
                <w:szCs w:val="18"/>
                <w:lang w:val="hy-AM"/>
              </w:rPr>
              <w:lastRenderedPageBreak/>
              <w:t>փոխել  առաց սարքավորման իրանը բացելու: Էլեկտրասնուցման խափանման դեպքում պետք է բացառել տվյալների կորուստը</w:t>
            </w:r>
          </w:p>
        </w:tc>
      </w:tr>
      <w:tr w:rsidR="008652C4" w:rsidRPr="00E627A7" w:rsidTr="009911AC">
        <w:trPr>
          <w:gridAfter w:val="1"/>
          <w:wAfter w:w="16" w:type="dxa"/>
          <w:trHeight w:val="226"/>
        </w:trPr>
        <w:tc>
          <w:tcPr>
            <w:tcW w:w="4806" w:type="dxa"/>
            <w:gridSpan w:val="8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64" w:type="dxa"/>
            <w:gridSpan w:val="14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8652C4" w:rsidRPr="00E627A7" w:rsidTr="009911AC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652C4" w:rsidRPr="00E627A7" w:rsidTr="009911AC">
        <w:trPr>
          <w:gridAfter w:val="1"/>
          <w:wAfter w:w="16" w:type="dxa"/>
          <w:trHeight w:val="127"/>
        </w:trPr>
        <w:tc>
          <w:tcPr>
            <w:tcW w:w="11970" w:type="dxa"/>
            <w:gridSpan w:val="22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8652C4" w:rsidRPr="00E627A7" w:rsidTr="009911AC">
        <w:trPr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884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006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727" w:type="dxa"/>
            <w:gridSpan w:val="8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8652C4" w:rsidRPr="00E627A7" w:rsidTr="009911AC">
        <w:trPr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727" w:type="dxa"/>
            <w:gridSpan w:val="8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8652C4" w:rsidRPr="00E627A7" w:rsidTr="009911AC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8652C4" w:rsidRPr="00E627A7" w:rsidTr="009911AC">
        <w:trPr>
          <w:gridAfter w:val="1"/>
          <w:wAfter w:w="16" w:type="dxa"/>
          <w:trHeight w:val="282"/>
        </w:trPr>
        <w:tc>
          <w:tcPr>
            <w:tcW w:w="4806" w:type="dxa"/>
            <w:gridSpan w:val="8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64" w:type="dxa"/>
            <w:gridSpan w:val="14"/>
            <w:vAlign w:val="center"/>
          </w:tcPr>
          <w:p w:rsidR="008652C4" w:rsidRPr="00E627A7" w:rsidRDefault="008652C4" w:rsidP="009911A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01.02.2017թ</w:t>
            </w:r>
          </w:p>
        </w:tc>
      </w:tr>
      <w:tr w:rsidR="008652C4" w:rsidRPr="00E627A7" w:rsidTr="009911AC">
        <w:trPr>
          <w:trHeight w:val="296"/>
        </w:trPr>
        <w:tc>
          <w:tcPr>
            <w:tcW w:w="3510" w:type="dxa"/>
            <w:gridSpan w:val="6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64" w:type="dxa"/>
            <w:gridSpan w:val="14"/>
            <w:vAlign w:val="center"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8652C4" w:rsidRPr="00E627A7" w:rsidTr="009911AC">
        <w:trPr>
          <w:trHeight w:val="261"/>
        </w:trPr>
        <w:tc>
          <w:tcPr>
            <w:tcW w:w="3510" w:type="dxa"/>
            <w:gridSpan w:val="6"/>
            <w:vMerge w:val="restart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7" w:type="dxa"/>
            <w:gridSpan w:val="6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727" w:type="dxa"/>
            <w:gridSpan w:val="8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8652C4" w:rsidRPr="00E627A7" w:rsidTr="009911AC">
        <w:trPr>
          <w:trHeight w:val="148"/>
        </w:trPr>
        <w:tc>
          <w:tcPr>
            <w:tcW w:w="3510" w:type="dxa"/>
            <w:gridSpan w:val="6"/>
            <w:vMerge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37" w:type="dxa"/>
            <w:gridSpan w:val="6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727" w:type="dxa"/>
            <w:gridSpan w:val="8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8652C4" w:rsidRPr="00E627A7" w:rsidTr="009911AC">
        <w:trPr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8652C4" w:rsidRPr="00E627A7" w:rsidTr="009911AC">
        <w:trPr>
          <w:gridAfter w:val="1"/>
          <w:wAfter w:w="16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8" w:type="dxa"/>
            <w:gridSpan w:val="17"/>
            <w:vAlign w:val="center"/>
            <w:hideMark/>
          </w:tcPr>
          <w:p w:rsidR="008652C4" w:rsidRPr="00E627A7" w:rsidRDefault="008652C4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8652C4" w:rsidRPr="00E627A7" w:rsidTr="00394E7A">
        <w:trPr>
          <w:gridAfter w:val="2"/>
          <w:wAfter w:w="45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88" w:type="dxa"/>
            <w:gridSpan w:val="6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30" w:type="dxa"/>
            <w:gridSpan w:val="6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41" w:type="dxa"/>
            <w:gridSpan w:val="4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8652C4" w:rsidRPr="00E627A7" w:rsidTr="00394E7A">
        <w:trPr>
          <w:gridAfter w:val="2"/>
          <w:wAfter w:w="45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60" w:type="dxa"/>
            <w:gridSpan w:val="4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60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620" w:type="dxa"/>
            <w:gridSpan w:val="2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221" w:type="dxa"/>
            <w:gridSpan w:val="2"/>
            <w:vAlign w:val="center"/>
            <w:hideMark/>
          </w:tcPr>
          <w:p w:rsidR="008652C4" w:rsidRPr="00E627A7" w:rsidRDefault="008652C4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697"/>
        <w:gridCol w:w="1260"/>
        <w:gridCol w:w="1350"/>
        <w:gridCol w:w="1093"/>
        <w:gridCol w:w="1613"/>
        <w:gridCol w:w="2257"/>
      </w:tblGrid>
      <w:tr w:rsidR="008652C4" w:rsidRPr="00E627A7" w:rsidTr="00394E7A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2C4" w:rsidRPr="00E627A7" w:rsidRDefault="008652C4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394E7A" w:rsidP="00394E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Էլկոմպ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4,166,525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4,166,525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833,305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833,305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4,999,830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4,999,830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8652C4" w:rsidRPr="00E627A7" w:rsidTr="00394E7A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Default="008652C4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394E7A" w:rsidP="00394E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Գրիգոր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Այվազյան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5,050,000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5,050,000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5,050,000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5,050,000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8652C4" w:rsidRPr="00E627A7" w:rsidTr="00394E7A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Default="008652C4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394E7A" w:rsidP="00394E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3,759,825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3,759,825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751,965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751,965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4,511,790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4,511,790</w:t>
            </w:r>
          </w:p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  <w:tr w:rsidR="00E11267" w:rsidRPr="00E627A7" w:rsidTr="00394E7A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Default="00E11267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1267" w:rsidRPr="00394E7A" w:rsidRDefault="00394E7A" w:rsidP="00394E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ԼանԱր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Սերվիս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1,125,000</w:t>
            </w:r>
          </w:p>
          <w:p w:rsidR="00E11267" w:rsidRPr="00394E7A" w:rsidRDefault="00E11267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1,125,000</w:t>
            </w:r>
          </w:p>
          <w:p w:rsidR="00E11267" w:rsidRPr="00394E7A" w:rsidRDefault="00E11267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225,000</w:t>
            </w:r>
          </w:p>
          <w:p w:rsidR="00E11267" w:rsidRPr="00394E7A" w:rsidRDefault="00E11267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225,000</w:t>
            </w:r>
          </w:p>
          <w:p w:rsidR="00E11267" w:rsidRPr="00394E7A" w:rsidRDefault="00E11267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1,350,000</w:t>
            </w:r>
          </w:p>
          <w:p w:rsidR="00E11267" w:rsidRPr="00394E7A" w:rsidRDefault="00E11267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E7A" w:rsidRPr="00394E7A" w:rsidRDefault="00394E7A" w:rsidP="00394E7A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394E7A">
              <w:rPr>
                <w:rFonts w:ascii="Calibri" w:hAnsi="Calibri" w:cs="Calibri"/>
                <w:color w:val="000000"/>
                <w:sz w:val="18"/>
              </w:rPr>
              <w:t>1,350,000</w:t>
            </w:r>
          </w:p>
          <w:p w:rsidR="00E11267" w:rsidRPr="00394E7A" w:rsidRDefault="00E11267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</w:tr>
    </w:tbl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49"/>
        <w:gridCol w:w="442"/>
        <w:gridCol w:w="6"/>
        <w:gridCol w:w="722"/>
        <w:gridCol w:w="947"/>
        <w:gridCol w:w="354"/>
        <w:gridCol w:w="49"/>
        <w:gridCol w:w="631"/>
        <w:gridCol w:w="539"/>
        <w:gridCol w:w="991"/>
        <w:gridCol w:w="629"/>
        <w:gridCol w:w="174"/>
        <w:gridCol w:w="180"/>
        <w:gridCol w:w="457"/>
        <w:gridCol w:w="269"/>
        <w:gridCol w:w="1080"/>
        <w:gridCol w:w="28"/>
        <w:gridCol w:w="417"/>
        <w:gridCol w:w="365"/>
        <w:gridCol w:w="179"/>
        <w:gridCol w:w="489"/>
        <w:gridCol w:w="146"/>
        <w:gridCol w:w="287"/>
        <w:gridCol w:w="599"/>
        <w:gridCol w:w="112"/>
        <w:gridCol w:w="369"/>
        <w:gridCol w:w="73"/>
        <w:gridCol w:w="987"/>
      </w:tblGrid>
      <w:tr w:rsidR="00693E9D" w:rsidRPr="00E627A7" w:rsidTr="009911AC">
        <w:trPr>
          <w:trHeight w:val="480"/>
        </w:trPr>
        <w:tc>
          <w:tcPr>
            <w:tcW w:w="292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50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270"/>
        </w:trPr>
        <w:tc>
          <w:tcPr>
            <w:tcW w:w="11970" w:type="dxa"/>
            <w:gridSpan w:val="2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693E9D" w:rsidRPr="00E627A7" w:rsidTr="009911AC">
        <w:trPr>
          <w:trHeight w:val="270"/>
        </w:trPr>
        <w:tc>
          <w:tcPr>
            <w:tcW w:w="449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351" w:type="dxa"/>
            <w:gridSpan w:val="2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693E9D" w:rsidRPr="00E627A7" w:rsidTr="009911AC">
        <w:trPr>
          <w:trHeight w:val="1800"/>
        </w:trPr>
        <w:tc>
          <w:tcPr>
            <w:tcW w:w="449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6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693E9D" w:rsidRPr="00E627A7" w:rsidTr="009911AC">
        <w:trPr>
          <w:trHeight w:val="510"/>
        </w:trPr>
        <w:tc>
          <w:tcPr>
            <w:tcW w:w="449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763B46" w:rsidRPr="00E627A7" w:rsidTr="009911AC">
        <w:trPr>
          <w:trHeight w:val="510"/>
        </w:trPr>
        <w:tc>
          <w:tcPr>
            <w:tcW w:w="449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795"/>
        </w:trPr>
        <w:tc>
          <w:tcPr>
            <w:tcW w:w="2969" w:type="dxa"/>
            <w:gridSpan w:val="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001" w:type="dxa"/>
            <w:gridSpan w:val="2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211" w:type="dxa"/>
            <w:gridSpan w:val="17"/>
            <w:vAlign w:val="center"/>
            <w:hideMark/>
          </w:tcPr>
          <w:p w:rsidR="00693E9D" w:rsidRPr="00E627A7" w:rsidRDefault="00763B46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16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693E9D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 w:rsidR="00E80E09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2017</w:t>
            </w:r>
            <w:r w:rsidR="00693E9D"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</w:tr>
      <w:tr w:rsidR="00693E9D" w:rsidRPr="00E627A7" w:rsidTr="009911AC">
        <w:trPr>
          <w:trHeight w:val="705"/>
        </w:trPr>
        <w:tc>
          <w:tcPr>
            <w:tcW w:w="5759" w:type="dxa"/>
            <w:gridSpan w:val="11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9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062" w:type="dxa"/>
            <w:gridSpan w:val="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693E9D" w:rsidRPr="00E627A7" w:rsidTr="009911AC">
        <w:trPr>
          <w:trHeight w:val="525"/>
        </w:trPr>
        <w:tc>
          <w:tcPr>
            <w:tcW w:w="5759" w:type="dxa"/>
            <w:gridSpan w:val="11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394E7A" w:rsidP="00394E7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17.02.2017թ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394E7A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21.02.2017թ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394E7A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</w:t>
            </w:r>
            <w:r w:rsidR="00763B46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.12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.2017</w:t>
            </w:r>
            <w:r w:rsidR="009B40A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693E9D" w:rsidP="00E55ED9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394E7A" w:rsidP="000E3B6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22.02.2017թ  , 23.02.2017թ</w:t>
            </w:r>
          </w:p>
        </w:tc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394E7A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22.02.2017թ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23.02.2017</w:t>
            </w:r>
            <w:r w:rsidR="00ED30A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թ</w:t>
            </w:r>
          </w:p>
        </w:tc>
      </w:tr>
      <w:tr w:rsidR="00693E9D" w:rsidRPr="00763B46" w:rsidTr="00E80E09">
        <w:trPr>
          <w:trHeight w:val="457"/>
        </w:trPr>
        <w:tc>
          <w:tcPr>
            <w:tcW w:w="891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09" w:type="dxa"/>
            <w:gridSpan w:val="6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693E9D" w:rsidRPr="00E627A7" w:rsidTr="00E80E09">
        <w:trPr>
          <w:trHeight w:val="34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44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49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693E9D" w:rsidRPr="00E627A7" w:rsidTr="00E80E09">
        <w:trPr>
          <w:trHeight w:val="43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693E9D" w:rsidRPr="00E627A7" w:rsidTr="00E80E09">
        <w:trPr>
          <w:trHeight w:val="889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429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394E7A" w:rsidRPr="00E627A7" w:rsidTr="00E80E09">
        <w:trPr>
          <w:trHeight w:val="250"/>
        </w:trPr>
        <w:tc>
          <w:tcPr>
            <w:tcW w:w="891" w:type="dxa"/>
            <w:gridSpan w:val="2"/>
            <w:vAlign w:val="center"/>
          </w:tcPr>
          <w:p w:rsidR="00394E7A" w:rsidRPr="00E627A7" w:rsidRDefault="00394E7A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709" w:type="dxa"/>
            <w:gridSpan w:val="6"/>
            <w:vAlign w:val="center"/>
          </w:tcPr>
          <w:p w:rsidR="00394E7A" w:rsidRPr="00394E7A" w:rsidRDefault="00394E7A" w:rsidP="00AB19E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1530" w:type="dxa"/>
            <w:gridSpan w:val="2"/>
            <w:vAlign w:val="center"/>
          </w:tcPr>
          <w:p w:rsidR="00394E7A" w:rsidRPr="00394E7A" w:rsidRDefault="00394E7A" w:rsidP="00E80E0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</w:rPr>
            </w:pPr>
            <w:r w:rsidRPr="00394E7A">
              <w:rPr>
                <w:rFonts w:ascii="GHEA Grapalat" w:hAnsi="GHEA Grapalat" w:cs="Sylfaen"/>
                <w:b/>
                <w:i/>
                <w:sz w:val="16"/>
                <w:lang w:val="af-ZA"/>
              </w:rPr>
              <w:t>ՀՊՏՀ-ՇՀԱՊՁԲ-15/12-17/2</w:t>
            </w:r>
            <w:r w:rsidRPr="00394E7A">
              <w:rPr>
                <w:rFonts w:ascii="GHEA Grapalat" w:hAnsi="GHEA Grapalat" w:cs="Sylfaen"/>
                <w:b/>
                <w:i/>
                <w:sz w:val="16"/>
                <w:lang w:val="af-ZA"/>
              </w:rPr>
              <w:t>-1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394E7A" w:rsidRPr="00763B46" w:rsidRDefault="00394E7A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23.02.2017թ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394E7A" w:rsidRPr="00763B46" w:rsidRDefault="00ED30AC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06.04.2017թ</w:t>
            </w:r>
          </w:p>
        </w:tc>
        <w:tc>
          <w:tcPr>
            <w:tcW w:w="810" w:type="dxa"/>
            <w:gridSpan w:val="3"/>
            <w:vAlign w:val="center"/>
          </w:tcPr>
          <w:p w:rsidR="00394E7A" w:rsidRPr="009B40A0" w:rsidRDefault="00394E7A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394E7A" w:rsidRPr="00763B46" w:rsidRDefault="00ED30AC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4.511.790</w:t>
            </w:r>
          </w:p>
        </w:tc>
        <w:tc>
          <w:tcPr>
            <w:tcW w:w="1429" w:type="dxa"/>
            <w:gridSpan w:val="3"/>
            <w:vAlign w:val="center"/>
          </w:tcPr>
          <w:p w:rsidR="00394E7A" w:rsidRPr="00763B46" w:rsidRDefault="00ED30AC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4.511.790</w:t>
            </w:r>
          </w:p>
        </w:tc>
      </w:tr>
      <w:tr w:rsidR="00394E7A" w:rsidRPr="00E627A7" w:rsidTr="00E80E09">
        <w:trPr>
          <w:trHeight w:val="250"/>
        </w:trPr>
        <w:tc>
          <w:tcPr>
            <w:tcW w:w="891" w:type="dxa"/>
            <w:gridSpan w:val="2"/>
            <w:vAlign w:val="center"/>
          </w:tcPr>
          <w:p w:rsidR="00394E7A" w:rsidRDefault="00394E7A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709" w:type="dxa"/>
            <w:gridSpan w:val="6"/>
            <w:vAlign w:val="center"/>
          </w:tcPr>
          <w:p w:rsidR="00394E7A" w:rsidRDefault="00ED30AC" w:rsidP="00AA55C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ԼանԱր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Սերվիս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530" w:type="dxa"/>
            <w:gridSpan w:val="2"/>
            <w:vAlign w:val="center"/>
          </w:tcPr>
          <w:p w:rsidR="00394E7A" w:rsidRPr="00394E7A" w:rsidRDefault="00394E7A" w:rsidP="00E80E09">
            <w:pPr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20"/>
              </w:rPr>
            </w:pPr>
            <w:r w:rsidRPr="00394E7A">
              <w:rPr>
                <w:rFonts w:ascii="GHEA Grapalat" w:hAnsi="GHEA Grapalat" w:cs="Sylfaen"/>
                <w:b/>
                <w:i/>
                <w:sz w:val="16"/>
                <w:lang w:val="af-ZA"/>
              </w:rPr>
              <w:t>ՀՊՏՀ-ՇՀԱՊՁԲ-15/12-17/2</w:t>
            </w:r>
            <w:r w:rsidRPr="00394E7A">
              <w:rPr>
                <w:rFonts w:ascii="GHEA Grapalat" w:hAnsi="GHEA Grapalat" w:cs="Sylfaen"/>
                <w:b/>
                <w:i/>
                <w:sz w:val="16"/>
                <w:lang w:val="af-ZA"/>
              </w:rPr>
              <w:t>-2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394E7A" w:rsidRDefault="00ED30AC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22.02.2017թ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394E7A" w:rsidRDefault="00ED30AC" w:rsidP="00E80E09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</w:rPr>
              <w:t>05.04.2017թ</w:t>
            </w:r>
          </w:p>
        </w:tc>
        <w:tc>
          <w:tcPr>
            <w:tcW w:w="810" w:type="dxa"/>
            <w:gridSpan w:val="3"/>
            <w:vAlign w:val="center"/>
          </w:tcPr>
          <w:p w:rsidR="00394E7A" w:rsidRPr="009B40A0" w:rsidRDefault="00394E7A" w:rsidP="00E80E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394E7A" w:rsidRDefault="00ED30AC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1.350.000</w:t>
            </w:r>
          </w:p>
        </w:tc>
        <w:tc>
          <w:tcPr>
            <w:tcW w:w="1429" w:type="dxa"/>
            <w:gridSpan w:val="3"/>
            <w:vAlign w:val="center"/>
          </w:tcPr>
          <w:p w:rsidR="00394E7A" w:rsidRDefault="00ED30AC" w:rsidP="00E80E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1.350.000</w:t>
            </w:r>
          </w:p>
        </w:tc>
      </w:tr>
      <w:tr w:rsidR="00394E7A" w:rsidRPr="00E627A7" w:rsidTr="00E80E09">
        <w:trPr>
          <w:trHeight w:val="250"/>
        </w:trPr>
        <w:tc>
          <w:tcPr>
            <w:tcW w:w="891" w:type="dxa"/>
            <w:gridSpan w:val="2"/>
            <w:shd w:val="clear" w:color="auto" w:fill="4F81BD" w:themeFill="accent1"/>
            <w:vAlign w:val="center"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shd w:val="clear" w:color="auto" w:fill="4F81BD" w:themeFill="accent1"/>
            <w:vAlign w:val="center"/>
          </w:tcPr>
          <w:p w:rsidR="00394E7A" w:rsidRPr="00E627A7" w:rsidRDefault="00394E7A" w:rsidP="00E55ED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530" w:type="dxa"/>
            <w:gridSpan w:val="2"/>
            <w:shd w:val="clear" w:color="auto" w:fill="4F81BD" w:themeFill="accent1"/>
            <w:vAlign w:val="center"/>
          </w:tcPr>
          <w:p w:rsidR="00394E7A" w:rsidRPr="00E627A7" w:rsidRDefault="00394E7A" w:rsidP="00E55ED9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4F81BD" w:themeFill="accent1"/>
            <w:vAlign w:val="center"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shd w:val="clear" w:color="auto" w:fill="4F81BD" w:themeFill="accent1"/>
            <w:vAlign w:val="center"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shd w:val="clear" w:color="auto" w:fill="4F81BD" w:themeFill="accent1"/>
            <w:vAlign w:val="center"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9" w:type="dxa"/>
            <w:gridSpan w:val="3"/>
            <w:shd w:val="clear" w:color="auto" w:fill="4F81BD" w:themeFill="accent1"/>
            <w:vAlign w:val="center"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94E7A" w:rsidRPr="00E627A7" w:rsidTr="009911AC">
        <w:trPr>
          <w:trHeight w:val="340"/>
        </w:trPr>
        <w:tc>
          <w:tcPr>
            <w:tcW w:w="11970" w:type="dxa"/>
            <w:gridSpan w:val="28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394E7A" w:rsidRPr="008652C4" w:rsidTr="009911AC">
        <w:trPr>
          <w:trHeight w:val="790"/>
        </w:trPr>
        <w:tc>
          <w:tcPr>
            <w:tcW w:w="897" w:type="dxa"/>
            <w:gridSpan w:val="3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541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ED30AC" w:rsidRPr="00136705" w:rsidTr="009911AC">
        <w:trPr>
          <w:trHeight w:val="259"/>
        </w:trPr>
        <w:tc>
          <w:tcPr>
            <w:tcW w:w="897" w:type="dxa"/>
            <w:gridSpan w:val="3"/>
            <w:vAlign w:val="center"/>
          </w:tcPr>
          <w:p w:rsidR="00ED30AC" w:rsidRPr="00E627A7" w:rsidRDefault="00ED30AC" w:rsidP="00AB19E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ED30AC" w:rsidRPr="00394E7A" w:rsidRDefault="00ED30AC" w:rsidP="00AB19E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 ՌՄ&gt;&gt; ՍՊԸ</w:t>
            </w:r>
          </w:p>
        </w:tc>
        <w:tc>
          <w:tcPr>
            <w:tcW w:w="1794" w:type="dxa"/>
            <w:gridSpan w:val="3"/>
            <w:vAlign w:val="center"/>
          </w:tcPr>
          <w:p w:rsidR="00ED30AC" w:rsidRPr="00E627A7" w:rsidRDefault="00ED30AC" w:rsidP="00ED30AC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ք.Երևան,Վարդանանց 18/2 հեռ 544-346</w:t>
            </w:r>
          </w:p>
        </w:tc>
        <w:tc>
          <w:tcPr>
            <w:tcW w:w="2431" w:type="dxa"/>
            <w:gridSpan w:val="6"/>
            <w:vAlign w:val="center"/>
          </w:tcPr>
          <w:p w:rsidR="00ED30AC" w:rsidRPr="00E627A7" w:rsidRDefault="00ED30AC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corp@patron.am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ED30AC" w:rsidRPr="00E627A7" w:rsidRDefault="00ED30AC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1660000446270100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:rsidR="00ED30AC" w:rsidRPr="00E627A7" w:rsidRDefault="00ED30AC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00861057</w:t>
            </w:r>
          </w:p>
        </w:tc>
      </w:tr>
      <w:tr w:rsidR="00394E7A" w:rsidRPr="00136705" w:rsidTr="00E80E09">
        <w:trPr>
          <w:trHeight w:val="440"/>
        </w:trPr>
        <w:tc>
          <w:tcPr>
            <w:tcW w:w="897" w:type="dxa"/>
            <w:gridSpan w:val="3"/>
            <w:vAlign w:val="center"/>
          </w:tcPr>
          <w:p w:rsidR="00394E7A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3242" w:type="dxa"/>
            <w:gridSpan w:val="6"/>
            <w:vAlign w:val="center"/>
          </w:tcPr>
          <w:p w:rsidR="00394E7A" w:rsidRDefault="00ED30AC" w:rsidP="009B40A0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ԼանԱր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Սերվիս</w:t>
            </w:r>
            <w:proofErr w:type="spellEnd"/>
            <w:r w:rsidRPr="00394E7A"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794" w:type="dxa"/>
            <w:gridSpan w:val="3"/>
            <w:vAlign w:val="center"/>
          </w:tcPr>
          <w:p w:rsidR="00394E7A" w:rsidRPr="00E627A7" w:rsidRDefault="00ED30AC" w:rsidP="00AA55C6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</w:t>
            </w: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,Բաբաջանյան 163/13                        հեռ. 539-311</w:t>
            </w:r>
          </w:p>
        </w:tc>
        <w:tc>
          <w:tcPr>
            <w:tcW w:w="2431" w:type="dxa"/>
            <w:gridSpan w:val="6"/>
            <w:vAlign w:val="center"/>
          </w:tcPr>
          <w:p w:rsidR="00394E7A" w:rsidRPr="00E627A7" w:rsidRDefault="00ED30AC" w:rsidP="00AA55C6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info@lanar.am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394E7A" w:rsidRPr="00E627A7" w:rsidRDefault="00ED30AC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1570012457840100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:rsidR="00394E7A" w:rsidRPr="00E627A7" w:rsidRDefault="00ED30AC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01843373</w:t>
            </w:r>
          </w:p>
        </w:tc>
      </w:tr>
      <w:tr w:rsidR="00394E7A" w:rsidRPr="00136705" w:rsidTr="009911AC">
        <w:trPr>
          <w:trHeight w:val="394"/>
        </w:trPr>
        <w:tc>
          <w:tcPr>
            <w:tcW w:w="4139" w:type="dxa"/>
            <w:gridSpan w:val="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394E7A" w:rsidRPr="00136705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94E7A" w:rsidRPr="00E627A7" w:rsidTr="009911AC">
        <w:trPr>
          <w:trHeight w:val="1051"/>
        </w:trPr>
        <w:tc>
          <w:tcPr>
            <w:tcW w:w="4139" w:type="dxa"/>
            <w:gridSpan w:val="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394E7A" w:rsidRPr="00E627A7" w:rsidTr="009911AC">
        <w:trPr>
          <w:trHeight w:val="196"/>
        </w:trPr>
        <w:tc>
          <w:tcPr>
            <w:tcW w:w="891" w:type="dxa"/>
            <w:gridSpan w:val="2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94E7A" w:rsidRPr="00E627A7" w:rsidTr="009911AC">
        <w:trPr>
          <w:trHeight w:val="1042"/>
        </w:trPr>
        <w:tc>
          <w:tcPr>
            <w:tcW w:w="4139" w:type="dxa"/>
            <w:gridSpan w:val="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94E7A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94E7A" w:rsidRPr="00E627A7" w:rsidTr="009911AC">
        <w:trPr>
          <w:trHeight w:val="826"/>
        </w:trPr>
        <w:tc>
          <w:tcPr>
            <w:tcW w:w="4139" w:type="dxa"/>
            <w:gridSpan w:val="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94E7A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94E7A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94E7A" w:rsidRPr="00E627A7" w:rsidTr="009911AC">
        <w:trPr>
          <w:trHeight w:val="151"/>
        </w:trPr>
        <w:tc>
          <w:tcPr>
            <w:tcW w:w="891" w:type="dxa"/>
            <w:gridSpan w:val="2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394E7A" w:rsidRPr="00E627A7" w:rsidTr="009911AC">
        <w:trPr>
          <w:trHeight w:val="313"/>
        </w:trPr>
        <w:tc>
          <w:tcPr>
            <w:tcW w:w="11970" w:type="dxa"/>
            <w:gridSpan w:val="28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4E7A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394E7A" w:rsidRPr="00E627A7" w:rsidTr="009911AC">
        <w:trPr>
          <w:trHeight w:val="340"/>
        </w:trPr>
        <w:tc>
          <w:tcPr>
            <w:tcW w:w="4139" w:type="dxa"/>
            <w:gridSpan w:val="9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394E7A" w:rsidRPr="00E627A7" w:rsidTr="009911AC">
        <w:trPr>
          <w:trHeight w:val="636"/>
        </w:trPr>
        <w:tc>
          <w:tcPr>
            <w:tcW w:w="11970" w:type="dxa"/>
            <w:gridSpan w:val="28"/>
            <w:noWrap/>
            <w:vAlign w:val="center"/>
            <w:hideMark/>
          </w:tcPr>
          <w:p w:rsidR="00394E7A" w:rsidRPr="00E627A7" w:rsidRDefault="00394E7A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693E9D" w:rsidRPr="00E627A7" w:rsidRDefault="00693E9D" w:rsidP="00693E9D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693E9D" w:rsidRPr="00E627A7" w:rsidRDefault="00693E9D" w:rsidP="00693E9D">
      <w:pPr>
        <w:rPr>
          <w:rFonts w:ascii="Calibri" w:eastAsia="Calibri" w:hAnsi="Calibri" w:cs="Times New Roman"/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0D50D8" w:rsidRPr="00693E9D" w:rsidRDefault="000D50D8">
      <w:pPr>
        <w:rPr>
          <w:lang w:val="af-ZA"/>
        </w:rPr>
      </w:pPr>
      <w:bookmarkStart w:id="0" w:name="_GoBack"/>
      <w:bookmarkEnd w:id="0"/>
    </w:p>
    <w:sectPr w:rsidR="000D50D8" w:rsidRPr="00693E9D" w:rsidSect="00E5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9"/>
    <w:rsid w:val="000D50D8"/>
    <w:rsid w:val="000E3B6E"/>
    <w:rsid w:val="0011115B"/>
    <w:rsid w:val="00136705"/>
    <w:rsid w:val="00394E7A"/>
    <w:rsid w:val="00656AE4"/>
    <w:rsid w:val="00693E9D"/>
    <w:rsid w:val="00700BD2"/>
    <w:rsid w:val="00763876"/>
    <w:rsid w:val="00763B46"/>
    <w:rsid w:val="008652C4"/>
    <w:rsid w:val="009911AC"/>
    <w:rsid w:val="009B40A0"/>
    <w:rsid w:val="00A259D9"/>
    <w:rsid w:val="00C77748"/>
    <w:rsid w:val="00CB6AF9"/>
    <w:rsid w:val="00DF0CD8"/>
    <w:rsid w:val="00E11267"/>
    <w:rsid w:val="00E30FA9"/>
    <w:rsid w:val="00E55ED9"/>
    <w:rsid w:val="00E80E09"/>
    <w:rsid w:val="00E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002A-0FFB-4AD5-9536-4FB7C7B9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2017-03-01T13:31:00Z</cp:lastPrinted>
  <dcterms:created xsi:type="dcterms:W3CDTF">2017-03-01T11:30:00Z</dcterms:created>
  <dcterms:modified xsi:type="dcterms:W3CDTF">2017-03-01T13:32:00Z</dcterms:modified>
</cp:coreProperties>
</file>