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773EF4" w:rsidRPr="00773EF4">
        <w:rPr>
          <w:rFonts w:ascii="Sylfaen" w:hAnsi="Sylfaen"/>
          <w:b/>
          <w:i/>
          <w:color w:val="FF0000"/>
          <w:szCs w:val="20"/>
        </w:rPr>
        <w:t>07</w:t>
      </w:r>
      <w:r w:rsidR="006A473C" w:rsidRPr="005D7A23">
        <w:rPr>
          <w:rFonts w:ascii="Sylfaen" w:hAnsi="Sylfaen"/>
          <w:b/>
          <w:i/>
          <w:color w:val="FF0000"/>
          <w:szCs w:val="20"/>
        </w:rPr>
        <w:t>.0</w:t>
      </w:r>
      <w:r w:rsidR="00773EF4" w:rsidRPr="00773EF4">
        <w:rPr>
          <w:rFonts w:ascii="Sylfaen" w:hAnsi="Sylfaen"/>
          <w:b/>
          <w:i/>
          <w:color w:val="FF0000"/>
          <w:szCs w:val="20"/>
        </w:rPr>
        <w:t>7</w:t>
      </w:r>
      <w:r w:rsidR="006A473C" w:rsidRPr="005D7A23">
        <w:rPr>
          <w:rFonts w:ascii="Sylfaen" w:hAnsi="Sylfaen"/>
          <w:b/>
          <w:i/>
          <w:color w:val="FF0000"/>
          <w:szCs w:val="20"/>
        </w:rPr>
        <w:t>.2017</w:t>
      </w:r>
      <w:r w:rsidR="00CE4D92">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1D1EEA">
        <w:rPr>
          <w:rFonts w:ascii="GHEA Grapalat" w:hAnsi="GHEA Grapalat"/>
          <w:b/>
          <w:color w:val="FF0000"/>
          <w:sz w:val="20"/>
          <w:szCs w:val="20"/>
        </w:rPr>
        <w:t>PNMTSDZB-10/9</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proofErr w:type="gramStart"/>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AD2CB1" w:rsidRPr="00AD2CB1">
        <w:rPr>
          <w:rFonts w:ascii="GHEA Grapalat" w:hAnsi="GHEA Grapalat"/>
          <w:b/>
          <w:color w:val="FF0000"/>
          <w:sz w:val="20"/>
          <w:szCs w:val="20"/>
        </w:rPr>
        <w:t>technical supervision services</w:t>
      </w:r>
      <w:r w:rsidR="0078626F" w:rsidRPr="0078626F">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505CD4" w:rsidRPr="00CE4D92" w:rsidRDefault="00264E95" w:rsidP="00505CD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r w:rsidR="00CA3CCF" w:rsidRPr="006A473C">
        <w:rPr>
          <w:rFonts w:ascii="GHEA Grapalat" w:eastAsia="Times New Roman" w:hAnsi="GHEA Grapalat"/>
          <w:color w:val="222222"/>
          <w:sz w:val="20"/>
          <w:szCs w:val="20"/>
          <w:lang w:eastAsia="ru-RU"/>
        </w:rPr>
        <w:t>point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AD2CB1">
        <w:rPr>
          <w:rFonts w:ascii="GHEA Grapalat" w:hAnsi="GHEA Grapalat"/>
          <w:b/>
          <w:color w:val="FF0000"/>
          <w:sz w:val="20"/>
          <w:szCs w:val="20"/>
        </w:rPr>
        <w:t>technical</w:t>
      </w:r>
      <w:proofErr w:type="gramEnd"/>
      <w:r w:rsidR="00570831" w:rsidRPr="00AD2CB1">
        <w:rPr>
          <w:rFonts w:ascii="GHEA Grapalat" w:hAnsi="GHEA Grapalat"/>
          <w:b/>
          <w:color w:val="FF0000"/>
          <w:sz w:val="20"/>
          <w:szCs w:val="20"/>
        </w:rPr>
        <w:t xml:space="preserve"> supervision services</w:t>
      </w:r>
      <w:r w:rsidR="00CE4D92">
        <w:rPr>
          <w:rFonts w:ascii="GHEA Grapalat" w:hAnsi="GHEA Grapalat"/>
          <w:b/>
          <w:color w:val="FF0000"/>
          <w:sz w:val="20"/>
          <w:szCs w:val="20"/>
        </w:rPr>
        <w:t xml:space="preserve"> </w:t>
      </w:r>
      <w:r w:rsidR="00AD7F09" w:rsidRPr="00AD7F09">
        <w:rPr>
          <w:rFonts w:ascii="GHEA Grapalat" w:eastAsia="Times New Roman" w:hAnsi="GHEA Grapalat"/>
          <w:color w:val="222222"/>
          <w:sz w:val="20"/>
          <w:szCs w:val="20"/>
          <w:lang w:eastAsia="ru-RU"/>
        </w:rPr>
        <w:t xml:space="preserve">considered </w:t>
      </w:r>
      <w:proofErr w:type="spellStart"/>
      <w:r w:rsidR="00AD7F09" w:rsidRPr="00AD7F09">
        <w:rPr>
          <w:rFonts w:ascii="GHEA Grapalat" w:eastAsia="Times New Roman" w:hAnsi="GHEA Grapalat"/>
          <w:color w:val="222222"/>
          <w:sz w:val="20"/>
          <w:szCs w:val="20"/>
          <w:lang w:eastAsia="ru-RU"/>
        </w:rPr>
        <w:t>similar</w:t>
      </w:r>
      <w:r w:rsidR="006D62F0">
        <w:rPr>
          <w:rFonts w:ascii="GHEA Grapalat" w:eastAsia="Times New Roman" w:hAnsi="GHEA Grapalat"/>
          <w:color w:val="222222"/>
          <w:sz w:val="20"/>
          <w:szCs w:val="20"/>
          <w:lang w:eastAsia="ru-RU"/>
        </w:rPr>
        <w:t>.</w:t>
      </w:r>
      <w:r w:rsidR="006D62F0" w:rsidRPr="00CE4D92">
        <w:rPr>
          <w:rFonts w:ascii="GHEA Grapalat" w:eastAsia="Times New Roman" w:hAnsi="GHEA Grapalat"/>
          <w:color w:val="222222"/>
          <w:sz w:val="20"/>
          <w:szCs w:val="20"/>
          <w:lang w:eastAsia="ru-RU"/>
        </w:rPr>
        <w:t>In</w:t>
      </w:r>
      <w:proofErr w:type="spellEnd"/>
      <w:r w:rsidR="006D62F0" w:rsidRPr="00CE4D92">
        <w:rPr>
          <w:rFonts w:ascii="GHEA Grapalat" w:eastAsia="Times New Roman" w:hAnsi="GHEA Grapalat"/>
          <w:color w:val="222222"/>
          <w:sz w:val="20"/>
          <w:szCs w:val="20"/>
          <w:lang w:eastAsia="ru-RU"/>
        </w:rPr>
        <w:t xml:space="preserve"> addition</w:t>
      </w:r>
    </w:p>
    <w:p w:rsidR="00505CD4" w:rsidRPr="00CE4D92" w:rsidRDefault="00505CD4" w:rsidP="00505CD4">
      <w:pPr>
        <w:pStyle w:val="ListParagraph1"/>
        <w:spacing w:after="0" w:line="240" w:lineRule="auto"/>
        <w:ind w:left="-709" w:right="-2" w:firstLine="567"/>
        <w:jc w:val="both"/>
        <w:rPr>
          <w:rFonts w:ascii="GHEA Grapalat" w:eastAsia="Times New Roman" w:hAnsi="GHEA Grapalat"/>
          <w:color w:val="222222"/>
          <w:sz w:val="20"/>
          <w:szCs w:val="20"/>
          <w:lang w:eastAsia="ru-RU"/>
        </w:rPr>
      </w:pPr>
      <w:r w:rsidRPr="00CE4D92">
        <w:rPr>
          <w:rFonts w:ascii="GHEA Grapalat" w:eastAsia="Times New Roman" w:hAnsi="GHEA Grapalat"/>
          <w:color w:val="222222"/>
          <w:sz w:val="20"/>
          <w:szCs w:val="20"/>
          <w:lang w:eastAsia="ru-RU"/>
        </w:rPr>
        <w:t xml:space="preserve">In accordance with the 1st quota state license </w:t>
      </w:r>
      <w:r w:rsidR="000E3E08" w:rsidRPr="00CE4D92">
        <w:rPr>
          <w:rFonts w:ascii="GHEA Grapalat" w:eastAsia="Times New Roman" w:hAnsi="GHEA Grapalat"/>
          <w:color w:val="222222"/>
          <w:sz w:val="20"/>
          <w:szCs w:val="20"/>
          <w:lang w:eastAsia="ru-RU"/>
        </w:rPr>
        <w:t>technical supervision services sphere</w:t>
      </w:r>
      <w:r w:rsidRPr="00CE4D92">
        <w:rPr>
          <w:rFonts w:ascii="GHEA Grapalat" w:eastAsia="Times New Roman" w:hAnsi="GHEA Grapalat"/>
          <w:color w:val="222222"/>
          <w:sz w:val="20"/>
          <w:szCs w:val="20"/>
          <w:lang w:eastAsia="ru-RU"/>
        </w:rPr>
        <w:t xml:space="preserve">/ with the exception of the jobs not demanding construction permission / the fulfillment of jobs in the framework of </w:t>
      </w:r>
      <w:r w:rsidR="002F4C28" w:rsidRPr="00CE4D92">
        <w:rPr>
          <w:rFonts w:ascii="GHEA Grapalat" w:eastAsia="Times New Roman" w:hAnsi="GHEA Grapalat"/>
          <w:color w:val="222222"/>
          <w:sz w:val="20"/>
          <w:szCs w:val="20"/>
          <w:lang w:eastAsia="ru-RU"/>
        </w:rPr>
        <w:t>dwelling, public,</w:t>
      </w:r>
      <w:r w:rsidR="00B670BE" w:rsidRPr="00CE4D92">
        <w:rPr>
          <w:rFonts w:ascii="GHEA Grapalat" w:eastAsia="Times New Roman" w:hAnsi="GHEA Grapalat"/>
          <w:color w:val="222222"/>
          <w:sz w:val="20"/>
          <w:szCs w:val="20"/>
          <w:lang w:eastAsia="ru-RU"/>
        </w:rPr>
        <w:t xml:space="preserve"> </w:t>
      </w:r>
      <w:proofErr w:type="spellStart"/>
      <w:r w:rsidR="00B670BE" w:rsidRPr="00CE4D92">
        <w:rPr>
          <w:rFonts w:ascii="GHEA Grapalat" w:eastAsia="Times New Roman" w:hAnsi="GHEA Grapalat"/>
          <w:color w:val="222222"/>
          <w:sz w:val="20"/>
          <w:szCs w:val="20"/>
          <w:lang w:eastAsia="ru-RU"/>
        </w:rPr>
        <w:t>industrial</w:t>
      </w:r>
      <w:r w:rsidR="00453FAE" w:rsidRPr="00CE4D92">
        <w:rPr>
          <w:rFonts w:ascii="GHEA Grapalat" w:eastAsia="Times New Roman" w:hAnsi="GHEA Grapalat"/>
          <w:color w:val="222222"/>
          <w:sz w:val="20"/>
          <w:szCs w:val="20"/>
          <w:lang w:eastAsia="ru-RU"/>
        </w:rPr>
        <w:t>,</w:t>
      </w:r>
      <w:r w:rsidRPr="00CE4D92">
        <w:rPr>
          <w:rFonts w:ascii="GHEA Grapalat" w:eastAsia="Times New Roman" w:hAnsi="GHEA Grapalat"/>
          <w:color w:val="222222"/>
          <w:sz w:val="20"/>
          <w:szCs w:val="20"/>
          <w:lang w:eastAsia="ru-RU"/>
        </w:rPr>
        <w:t>transport</w:t>
      </w:r>
      <w:proofErr w:type="spellEnd"/>
      <w:r w:rsidR="00CE4D92" w:rsidRPr="00CE4D92">
        <w:rPr>
          <w:rFonts w:ascii="GHEA Grapalat" w:eastAsia="Times New Roman" w:hAnsi="GHEA Grapalat"/>
          <w:color w:val="222222"/>
          <w:sz w:val="20"/>
          <w:szCs w:val="20"/>
          <w:lang w:eastAsia="ru-RU"/>
        </w:rPr>
        <w:t xml:space="preserve"> </w:t>
      </w:r>
      <w:r w:rsidR="00D60EC7" w:rsidRPr="00CE4D92">
        <w:rPr>
          <w:rFonts w:ascii="GHEA Grapalat" w:eastAsia="Times New Roman" w:hAnsi="GHEA Grapalat"/>
          <w:color w:val="222222"/>
          <w:sz w:val="20"/>
          <w:szCs w:val="20"/>
          <w:lang w:eastAsia="ru-RU"/>
        </w:rPr>
        <w:t>availability of</w:t>
      </w:r>
      <w:r w:rsidR="00CE4D92">
        <w:rPr>
          <w:rFonts w:ascii="GHEA Grapalat" w:eastAsia="Times New Roman" w:hAnsi="GHEA Grapalat"/>
          <w:color w:val="222222"/>
          <w:sz w:val="20"/>
          <w:szCs w:val="20"/>
          <w:lang w:eastAsia="ru-RU"/>
        </w:rPr>
        <w:t xml:space="preserve"> </w:t>
      </w:r>
      <w:r w:rsidR="001B4E1C" w:rsidRPr="00CE4D92">
        <w:rPr>
          <w:rFonts w:ascii="GHEA Grapalat" w:eastAsia="Times New Roman" w:hAnsi="GHEA Grapalat"/>
          <w:color w:val="222222"/>
          <w:sz w:val="20"/>
          <w:szCs w:val="20"/>
          <w:lang w:eastAsia="ru-RU"/>
        </w:rPr>
        <w:t>implemented</w:t>
      </w:r>
      <w:r w:rsidR="00CE4D92">
        <w:rPr>
          <w:rFonts w:ascii="GHEA Grapalat" w:eastAsia="Times New Roman" w:hAnsi="GHEA Grapalat"/>
          <w:color w:val="222222"/>
          <w:sz w:val="20"/>
          <w:szCs w:val="20"/>
          <w:lang w:eastAsia="ru-RU"/>
        </w:rPr>
        <w:t xml:space="preserve"> </w:t>
      </w:r>
      <w:r w:rsidR="00D60EC7" w:rsidRPr="00CE4D92">
        <w:rPr>
          <w:rFonts w:ascii="GHEA Grapalat" w:eastAsia="Times New Roman" w:hAnsi="GHEA Grapalat"/>
          <w:color w:val="222222"/>
          <w:sz w:val="20"/>
          <w:szCs w:val="20"/>
          <w:lang w:eastAsia="ru-RU"/>
        </w:rPr>
        <w:t xml:space="preserve">technical supervision services </w:t>
      </w:r>
      <w:r w:rsidR="00EE540F" w:rsidRPr="00CE4D92">
        <w:rPr>
          <w:rFonts w:ascii="GHEA Grapalat" w:eastAsia="Times New Roman" w:hAnsi="GHEA Grapalat"/>
          <w:color w:val="222222"/>
          <w:sz w:val="20"/>
          <w:szCs w:val="20"/>
          <w:lang w:eastAsia="ru-RU"/>
        </w:rPr>
        <w:t>within the framework</w:t>
      </w:r>
      <w:r w:rsidR="0006287B" w:rsidRPr="00CE4D92">
        <w:rPr>
          <w:rFonts w:ascii="GHEA Grapalat" w:eastAsia="Times New Roman" w:hAnsi="GHEA Grapalat"/>
          <w:color w:val="222222"/>
          <w:sz w:val="20"/>
          <w:szCs w:val="20"/>
          <w:lang w:eastAsia="ru-RU"/>
        </w:rPr>
        <w:t xml:space="preserve"> the tabs</w:t>
      </w:r>
      <w:r w:rsidR="00431A7F" w:rsidRPr="00CE4D92">
        <w:rPr>
          <w:rFonts w:ascii="GHEA Grapalat" w:eastAsia="Times New Roman" w:hAnsi="GHEA Grapalat"/>
          <w:color w:val="222222"/>
          <w:sz w:val="20"/>
          <w:szCs w:val="20"/>
          <w:lang w:eastAsia="ru-RU"/>
        </w:rPr>
        <w:t>.</w:t>
      </w:r>
    </w:p>
    <w:p w:rsidR="004E7076" w:rsidRPr="00CE4D92" w:rsidRDefault="004E7076" w:rsidP="002C30B6">
      <w:pPr>
        <w:pStyle w:val="ListParagraph1"/>
        <w:spacing w:after="0" w:line="240" w:lineRule="auto"/>
        <w:ind w:left="-709" w:right="-2" w:firstLine="567"/>
        <w:jc w:val="both"/>
        <w:rPr>
          <w:rFonts w:ascii="GHEA Grapalat" w:eastAsia="Times New Roman" w:hAnsi="GHEA Grapalat"/>
          <w:color w:val="222222"/>
          <w:sz w:val="20"/>
          <w:szCs w:val="20"/>
          <w:lang w:eastAsia="ru-RU"/>
        </w:rPr>
      </w:pPr>
      <w:r w:rsidRPr="00CE4D92">
        <w:rPr>
          <w:rFonts w:ascii="GHEA Grapalat" w:eastAsia="Times New Roman" w:hAnsi="GHEA Grapalat"/>
          <w:color w:val="222222"/>
          <w:sz w:val="20"/>
          <w:szCs w:val="20"/>
          <w:lang w:eastAsia="ru-RU"/>
        </w:rPr>
        <w:t>In accordance with the 2rd  quota state license technical supervision services sphere/ with the exception of the jobs not demanding construction permission / the fulfillment of jobs in the framework of dwelling, public, industrial</w:t>
      </w:r>
      <w:r w:rsidR="00CE4D92" w:rsidRPr="00CE4D92">
        <w:rPr>
          <w:rFonts w:ascii="GHEA Grapalat" w:eastAsia="Times New Roman" w:hAnsi="GHEA Grapalat"/>
          <w:color w:val="222222"/>
          <w:sz w:val="20"/>
          <w:szCs w:val="20"/>
          <w:lang w:eastAsia="ru-RU"/>
        </w:rPr>
        <w:t xml:space="preserve"> </w:t>
      </w:r>
      <w:r w:rsidRPr="00CE4D92">
        <w:rPr>
          <w:rFonts w:ascii="GHEA Grapalat" w:eastAsia="Times New Roman" w:hAnsi="GHEA Grapalat"/>
          <w:color w:val="222222"/>
          <w:sz w:val="20"/>
          <w:szCs w:val="20"/>
          <w:lang w:eastAsia="ru-RU"/>
        </w:rPr>
        <w:t>availability of   implemented   technical supervision services  within the framework  the tabs.</w:t>
      </w:r>
    </w:p>
    <w:p w:rsidR="00256D9D" w:rsidRPr="006A473C" w:rsidRDefault="00256D9D"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w:t>
      </w:r>
      <w:r w:rsidR="00FB0AE7" w:rsidRPr="006A473C">
        <w:rPr>
          <w:rFonts w:ascii="GHEA Grapalat" w:hAnsi="GHEA Grapalat"/>
          <w:color w:val="222222"/>
          <w:sz w:val="20"/>
          <w:szCs w:val="20"/>
        </w:rPr>
        <w:t xml:space="preserve">articipant is considered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activityshall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tothe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lastRenderedPageBreak/>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thebulletin</w:t>
      </w:r>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403853">
        <w:rPr>
          <w:rFonts w:ascii="GHEA Grapalat" w:eastAsia="Times New Roman" w:hAnsi="GHEA Grapalat" w:cs="Arial"/>
          <w:b/>
          <w:color w:val="FF0000"/>
          <w:sz w:val="20"/>
          <w:szCs w:val="20"/>
          <w:lang w:eastAsia="ru-RU"/>
        </w:rPr>
        <w:t xml:space="preserve">26.07.2017 </w:t>
      </w:r>
      <w:r w:rsidRPr="002B40B5">
        <w:rPr>
          <w:rFonts w:ascii="GHEA Grapalat" w:eastAsia="Times New Roman" w:hAnsi="GHEA Grapalat" w:cs="Arial"/>
          <w:b/>
          <w:color w:val="FF0000"/>
          <w:sz w:val="20"/>
          <w:szCs w:val="20"/>
          <w:lang w:eastAsia="ru-RU"/>
        </w:rPr>
        <w:t xml:space="preserve">at </w:t>
      </w:r>
      <w:r w:rsidR="00F46E0D">
        <w:rPr>
          <w:rFonts w:ascii="GHEA Grapalat" w:eastAsia="Times New Roman" w:hAnsi="GHEA Grapalat" w:cs="Arial"/>
          <w:b/>
          <w:color w:val="FF0000"/>
          <w:sz w:val="20"/>
          <w:szCs w:val="20"/>
          <w:lang w:eastAsia="ru-RU"/>
        </w:rPr>
        <w:t>11:00pm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deadlineprescribed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indocumentary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the</w:t>
      </w:r>
      <w:r w:rsidR="00D371F6" w:rsidRPr="006A473C">
        <w:rPr>
          <w:rFonts w:ascii="GHEA Grapalat" w:hAnsi="GHEA Grapalat"/>
          <w:sz w:val="20"/>
          <w:szCs w:val="20"/>
        </w:rPr>
        <w:t>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CE4D92">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E44AE6"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3)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11:00pm</w:t>
      </w:r>
      <w:r w:rsidRPr="00A07E5F">
        <w:rPr>
          <w:rFonts w:ascii="GHEA Grapalat" w:eastAsia="Times New Roman" w:hAnsi="GHEA Grapalat" w:cs="Arial"/>
          <w:b/>
          <w:color w:val="FF0000"/>
          <w:sz w:val="20"/>
          <w:szCs w:val="20"/>
          <w:lang w:eastAsia="ru-RU"/>
        </w:rPr>
        <w:t xml:space="preserve">, </w:t>
      </w:r>
      <w:r w:rsidR="00403853">
        <w:rPr>
          <w:rFonts w:ascii="GHEA Grapalat" w:eastAsia="Times New Roman" w:hAnsi="GHEA Grapalat" w:cs="Arial"/>
          <w:b/>
          <w:color w:val="FF0000"/>
          <w:sz w:val="20"/>
          <w:szCs w:val="20"/>
          <w:lang w:eastAsia="ru-RU"/>
        </w:rPr>
        <w:t xml:space="preserve">26.07.2017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which are in accordance with the conditions provided in this statemen</w:t>
      </w:r>
      <w:r w:rsidRPr="006A473C">
        <w:rPr>
          <w:rFonts w:ascii="GHEA Grapalat" w:hAnsi="GHEA Grapalat" w:cs="Arial"/>
          <w:color w:val="222222"/>
          <w:sz w:val="20"/>
          <w:szCs w:val="20"/>
        </w:rPr>
        <w:t xml:space="preserve">tare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sentto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gramEnd"/>
      <w:r w:rsidR="002A7085"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 xml:space="preserve">ersions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membersof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announcementabout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receivingthe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vitation and</w:t>
      </w:r>
      <w:r w:rsidR="00283ED8" w:rsidRPr="00283ED8">
        <w:rPr>
          <w:rFonts w:ascii="GHEA Grapalat" w:hAnsi="GHEA Grapalat" w:cs="Arial"/>
          <w:color w:val="FF0000"/>
          <w:sz w:val="20"/>
          <w:szCs w:val="20"/>
        </w:rPr>
        <w:t xml:space="preserve">appropriatecertificate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purposedtender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CE4D92">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Default="00ED67F0" w:rsidP="00216262">
      <w:pPr>
        <w:pStyle w:val="BodyTextIndent"/>
        <w:spacing w:line="240" w:lineRule="auto"/>
        <w:ind w:right="-2" w:firstLine="0"/>
        <w:rPr>
          <w:rFonts w:ascii="GHEA Grapalat" w:hAnsi="GHEA Grapalat" w:cs="Arial"/>
          <w:color w:val="222222"/>
          <w:lang w:val="en-US"/>
        </w:rPr>
      </w:pPr>
    </w:p>
    <w:p w:rsidR="00CE4D92" w:rsidRDefault="00CE4D92" w:rsidP="00216262">
      <w:pPr>
        <w:pStyle w:val="BodyTextIndent"/>
        <w:spacing w:line="240" w:lineRule="auto"/>
        <w:ind w:right="-2" w:firstLine="0"/>
        <w:rPr>
          <w:rFonts w:ascii="GHEA Grapalat" w:hAnsi="GHEA Grapalat" w:cs="Arial"/>
          <w:color w:val="222222"/>
          <w:lang w:val="en-US"/>
        </w:rPr>
      </w:pPr>
    </w:p>
    <w:p w:rsidR="00CE4D92" w:rsidRPr="006A473C" w:rsidRDefault="00CE4D92" w:rsidP="00216262">
      <w:pPr>
        <w:pStyle w:val="BodyTextIndent"/>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CE4D92">
        <w:rPr>
          <w:rFonts w:ascii="GHEA Grapalat" w:hAnsi="GHEA Grapalat"/>
          <w:b/>
          <w:color w:val="FF0000"/>
          <w:sz w:val="20"/>
          <w:szCs w:val="20"/>
        </w:rPr>
        <w:t>“</w:t>
      </w:r>
      <w:r w:rsidRPr="00611E41">
        <w:rPr>
          <w:rFonts w:ascii="GHEA Grapalat" w:hAnsi="GHEA Grapalat"/>
          <w:b/>
          <w:color w:val="FF0000"/>
          <w:sz w:val="20"/>
          <w:szCs w:val="20"/>
        </w:rPr>
        <w:t>HH PN NTAD-</w:t>
      </w:r>
      <w:r w:rsidR="001D1EEA">
        <w:rPr>
          <w:rFonts w:ascii="GHEA Grapalat" w:hAnsi="GHEA Grapalat"/>
          <w:b/>
          <w:color w:val="FF0000"/>
          <w:sz w:val="20"/>
          <w:szCs w:val="20"/>
        </w:rPr>
        <w:t>PNMTSDZB-10/9</w:t>
      </w:r>
      <w:r w:rsidRPr="00CE4D92">
        <w:rPr>
          <w:rFonts w:ascii="GHEA Grapalat" w:hAnsi="GHEA Grapalat"/>
          <w:b/>
          <w:color w:val="FF0000"/>
          <w:sz w:val="20"/>
          <w:szCs w:val="20"/>
        </w:rPr>
        <w:t>”</w:t>
      </w:r>
      <w:bookmarkStart w:id="0" w:name="_GoBack"/>
      <w:bookmarkEnd w:id="0"/>
      <w:r w:rsidR="00CE4D92">
        <w:rPr>
          <w:rFonts w:ascii="Sylfaen" w:hAnsi="Sylfaen"/>
          <w:sz w:val="24"/>
          <w:szCs w:val="24"/>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A14" w:rsidRDefault="001A6A14" w:rsidP="0054642F">
      <w:pPr>
        <w:spacing w:after="0" w:line="240" w:lineRule="auto"/>
      </w:pPr>
      <w:r>
        <w:separator/>
      </w:r>
    </w:p>
  </w:endnote>
  <w:endnote w:type="continuationSeparator" w:id="1">
    <w:p w:rsidR="001A6A14" w:rsidRDefault="001A6A14"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A14" w:rsidRDefault="001A6A14" w:rsidP="0054642F">
      <w:pPr>
        <w:spacing w:after="0" w:line="240" w:lineRule="auto"/>
      </w:pPr>
      <w:r>
        <w:separator/>
      </w:r>
    </w:p>
  </w:footnote>
  <w:footnote w:type="continuationSeparator" w:id="1">
    <w:p w:rsidR="001A6A14" w:rsidRDefault="001A6A14"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24367"/>
    <w:rsid w:val="000324DC"/>
    <w:rsid w:val="00034BBF"/>
    <w:rsid w:val="00036564"/>
    <w:rsid w:val="00053431"/>
    <w:rsid w:val="000543A2"/>
    <w:rsid w:val="0006287B"/>
    <w:rsid w:val="00063B37"/>
    <w:rsid w:val="000650B0"/>
    <w:rsid w:val="00065569"/>
    <w:rsid w:val="0008372F"/>
    <w:rsid w:val="000840DC"/>
    <w:rsid w:val="00092D95"/>
    <w:rsid w:val="000A2D05"/>
    <w:rsid w:val="000A406A"/>
    <w:rsid w:val="000A5F0C"/>
    <w:rsid w:val="000B22B8"/>
    <w:rsid w:val="000C041F"/>
    <w:rsid w:val="000C4786"/>
    <w:rsid w:val="000C54A2"/>
    <w:rsid w:val="000C5BDB"/>
    <w:rsid w:val="000C7611"/>
    <w:rsid w:val="000D7676"/>
    <w:rsid w:val="000E27D9"/>
    <w:rsid w:val="000E3077"/>
    <w:rsid w:val="000E3E08"/>
    <w:rsid w:val="000E432C"/>
    <w:rsid w:val="001046D2"/>
    <w:rsid w:val="001107DA"/>
    <w:rsid w:val="00125DCA"/>
    <w:rsid w:val="00162AE0"/>
    <w:rsid w:val="0018087F"/>
    <w:rsid w:val="001A260F"/>
    <w:rsid w:val="001A6A14"/>
    <w:rsid w:val="001B33D2"/>
    <w:rsid w:val="001B4E1C"/>
    <w:rsid w:val="001C3A80"/>
    <w:rsid w:val="001C4E8D"/>
    <w:rsid w:val="001C7199"/>
    <w:rsid w:val="001D129E"/>
    <w:rsid w:val="001D1EEA"/>
    <w:rsid w:val="001D7D29"/>
    <w:rsid w:val="001E435F"/>
    <w:rsid w:val="001F2364"/>
    <w:rsid w:val="00205A37"/>
    <w:rsid w:val="00212FE8"/>
    <w:rsid w:val="00215C9D"/>
    <w:rsid w:val="00216262"/>
    <w:rsid w:val="00217BCC"/>
    <w:rsid w:val="00222759"/>
    <w:rsid w:val="00223312"/>
    <w:rsid w:val="00232937"/>
    <w:rsid w:val="00246DF9"/>
    <w:rsid w:val="00250016"/>
    <w:rsid w:val="00252774"/>
    <w:rsid w:val="002549D6"/>
    <w:rsid w:val="00256D9D"/>
    <w:rsid w:val="00257FF0"/>
    <w:rsid w:val="002622D3"/>
    <w:rsid w:val="00264E95"/>
    <w:rsid w:val="00264F6B"/>
    <w:rsid w:val="00274240"/>
    <w:rsid w:val="002760BB"/>
    <w:rsid w:val="00283C5A"/>
    <w:rsid w:val="00283ED8"/>
    <w:rsid w:val="00296AC0"/>
    <w:rsid w:val="002A7085"/>
    <w:rsid w:val="002B2300"/>
    <w:rsid w:val="002B39B5"/>
    <w:rsid w:val="002B40B5"/>
    <w:rsid w:val="002C30B6"/>
    <w:rsid w:val="002C59B0"/>
    <w:rsid w:val="002F4C28"/>
    <w:rsid w:val="00302425"/>
    <w:rsid w:val="003115DB"/>
    <w:rsid w:val="00311667"/>
    <w:rsid w:val="00323A8D"/>
    <w:rsid w:val="003434B5"/>
    <w:rsid w:val="00353D9F"/>
    <w:rsid w:val="003639CD"/>
    <w:rsid w:val="00372FA4"/>
    <w:rsid w:val="003836D8"/>
    <w:rsid w:val="0038768F"/>
    <w:rsid w:val="003965AC"/>
    <w:rsid w:val="003B71B9"/>
    <w:rsid w:val="003F1D51"/>
    <w:rsid w:val="00403853"/>
    <w:rsid w:val="00412D8A"/>
    <w:rsid w:val="00425663"/>
    <w:rsid w:val="00431A7F"/>
    <w:rsid w:val="00447047"/>
    <w:rsid w:val="00453FAE"/>
    <w:rsid w:val="0045615E"/>
    <w:rsid w:val="00461CAE"/>
    <w:rsid w:val="00474817"/>
    <w:rsid w:val="004770CB"/>
    <w:rsid w:val="00481187"/>
    <w:rsid w:val="00483105"/>
    <w:rsid w:val="00485ABA"/>
    <w:rsid w:val="00486874"/>
    <w:rsid w:val="00494E98"/>
    <w:rsid w:val="004A3354"/>
    <w:rsid w:val="004A73E3"/>
    <w:rsid w:val="004B053C"/>
    <w:rsid w:val="004B3AF3"/>
    <w:rsid w:val="004E169F"/>
    <w:rsid w:val="004E7076"/>
    <w:rsid w:val="00505CD4"/>
    <w:rsid w:val="005103FF"/>
    <w:rsid w:val="00534F32"/>
    <w:rsid w:val="00544F45"/>
    <w:rsid w:val="0054509A"/>
    <w:rsid w:val="0054642F"/>
    <w:rsid w:val="00547D3E"/>
    <w:rsid w:val="00567561"/>
    <w:rsid w:val="00570831"/>
    <w:rsid w:val="00570B68"/>
    <w:rsid w:val="00577B9B"/>
    <w:rsid w:val="005A6163"/>
    <w:rsid w:val="005A70C5"/>
    <w:rsid w:val="005B3577"/>
    <w:rsid w:val="005B6773"/>
    <w:rsid w:val="005B6A76"/>
    <w:rsid w:val="005B6D72"/>
    <w:rsid w:val="005E02D5"/>
    <w:rsid w:val="005F0656"/>
    <w:rsid w:val="005F1418"/>
    <w:rsid w:val="00603331"/>
    <w:rsid w:val="006053BD"/>
    <w:rsid w:val="00607FDA"/>
    <w:rsid w:val="00611E41"/>
    <w:rsid w:val="00643185"/>
    <w:rsid w:val="00644A68"/>
    <w:rsid w:val="006840D9"/>
    <w:rsid w:val="00685A86"/>
    <w:rsid w:val="006930D4"/>
    <w:rsid w:val="006974D5"/>
    <w:rsid w:val="006A473C"/>
    <w:rsid w:val="006A7A0B"/>
    <w:rsid w:val="006A7D92"/>
    <w:rsid w:val="006B1F7C"/>
    <w:rsid w:val="006B256C"/>
    <w:rsid w:val="006D62F0"/>
    <w:rsid w:val="006E6D78"/>
    <w:rsid w:val="006E72CF"/>
    <w:rsid w:val="007023C2"/>
    <w:rsid w:val="00704888"/>
    <w:rsid w:val="00710EC3"/>
    <w:rsid w:val="00727EC1"/>
    <w:rsid w:val="007329FA"/>
    <w:rsid w:val="00741EFE"/>
    <w:rsid w:val="00761266"/>
    <w:rsid w:val="0077076C"/>
    <w:rsid w:val="00773EF4"/>
    <w:rsid w:val="00774387"/>
    <w:rsid w:val="00776A5D"/>
    <w:rsid w:val="0078626F"/>
    <w:rsid w:val="0079557C"/>
    <w:rsid w:val="007A713C"/>
    <w:rsid w:val="007B515F"/>
    <w:rsid w:val="007B6635"/>
    <w:rsid w:val="007C0DE7"/>
    <w:rsid w:val="007C44ED"/>
    <w:rsid w:val="007F4652"/>
    <w:rsid w:val="00801451"/>
    <w:rsid w:val="00802399"/>
    <w:rsid w:val="00816421"/>
    <w:rsid w:val="008236AF"/>
    <w:rsid w:val="00826339"/>
    <w:rsid w:val="00844C3D"/>
    <w:rsid w:val="00846DDD"/>
    <w:rsid w:val="00864D35"/>
    <w:rsid w:val="00870E4E"/>
    <w:rsid w:val="00873DED"/>
    <w:rsid w:val="00887D4D"/>
    <w:rsid w:val="008A010D"/>
    <w:rsid w:val="008A35D4"/>
    <w:rsid w:val="008A3F26"/>
    <w:rsid w:val="008A7A85"/>
    <w:rsid w:val="008C25E8"/>
    <w:rsid w:val="008C26E9"/>
    <w:rsid w:val="008D5C60"/>
    <w:rsid w:val="0090441E"/>
    <w:rsid w:val="00905E4B"/>
    <w:rsid w:val="0091136A"/>
    <w:rsid w:val="00915928"/>
    <w:rsid w:val="0092176C"/>
    <w:rsid w:val="009402FB"/>
    <w:rsid w:val="00942D64"/>
    <w:rsid w:val="00957DB2"/>
    <w:rsid w:val="00962C67"/>
    <w:rsid w:val="00964B09"/>
    <w:rsid w:val="0096541D"/>
    <w:rsid w:val="009654CD"/>
    <w:rsid w:val="00965689"/>
    <w:rsid w:val="00966685"/>
    <w:rsid w:val="00966DB2"/>
    <w:rsid w:val="00987A1D"/>
    <w:rsid w:val="009903E0"/>
    <w:rsid w:val="009A3B31"/>
    <w:rsid w:val="009A5A7D"/>
    <w:rsid w:val="009D0668"/>
    <w:rsid w:val="009D342B"/>
    <w:rsid w:val="009E1E58"/>
    <w:rsid w:val="009E4AB6"/>
    <w:rsid w:val="009E7B68"/>
    <w:rsid w:val="009F51C9"/>
    <w:rsid w:val="009F5B35"/>
    <w:rsid w:val="009F63D4"/>
    <w:rsid w:val="00A04F30"/>
    <w:rsid w:val="00A0571C"/>
    <w:rsid w:val="00A07C23"/>
    <w:rsid w:val="00A07E5F"/>
    <w:rsid w:val="00A20D00"/>
    <w:rsid w:val="00A229CA"/>
    <w:rsid w:val="00A24AC7"/>
    <w:rsid w:val="00A71882"/>
    <w:rsid w:val="00A776DB"/>
    <w:rsid w:val="00A81659"/>
    <w:rsid w:val="00A82BA5"/>
    <w:rsid w:val="00A872E4"/>
    <w:rsid w:val="00A90129"/>
    <w:rsid w:val="00A90DEB"/>
    <w:rsid w:val="00A91A11"/>
    <w:rsid w:val="00A92B4E"/>
    <w:rsid w:val="00AA31E0"/>
    <w:rsid w:val="00AA334D"/>
    <w:rsid w:val="00AC75BB"/>
    <w:rsid w:val="00AD2C90"/>
    <w:rsid w:val="00AD2CB1"/>
    <w:rsid w:val="00AD40BA"/>
    <w:rsid w:val="00AD67A8"/>
    <w:rsid w:val="00AD7F09"/>
    <w:rsid w:val="00B01322"/>
    <w:rsid w:val="00B06301"/>
    <w:rsid w:val="00B068F6"/>
    <w:rsid w:val="00B15A4E"/>
    <w:rsid w:val="00B21511"/>
    <w:rsid w:val="00B22691"/>
    <w:rsid w:val="00B33E52"/>
    <w:rsid w:val="00B51655"/>
    <w:rsid w:val="00B566A9"/>
    <w:rsid w:val="00B61417"/>
    <w:rsid w:val="00B670BE"/>
    <w:rsid w:val="00B760E9"/>
    <w:rsid w:val="00B81CD1"/>
    <w:rsid w:val="00B84A04"/>
    <w:rsid w:val="00BA10AE"/>
    <w:rsid w:val="00BA3672"/>
    <w:rsid w:val="00BA5A17"/>
    <w:rsid w:val="00BB1754"/>
    <w:rsid w:val="00BB591E"/>
    <w:rsid w:val="00BC2FCB"/>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2B78"/>
    <w:rsid w:val="00CA3CCF"/>
    <w:rsid w:val="00CB0A5B"/>
    <w:rsid w:val="00CB38D3"/>
    <w:rsid w:val="00CC5344"/>
    <w:rsid w:val="00CE32BC"/>
    <w:rsid w:val="00CE4D92"/>
    <w:rsid w:val="00CF0C76"/>
    <w:rsid w:val="00CF2D56"/>
    <w:rsid w:val="00D20533"/>
    <w:rsid w:val="00D2148F"/>
    <w:rsid w:val="00D3563B"/>
    <w:rsid w:val="00D36DA2"/>
    <w:rsid w:val="00D371F6"/>
    <w:rsid w:val="00D4315C"/>
    <w:rsid w:val="00D45F07"/>
    <w:rsid w:val="00D50F92"/>
    <w:rsid w:val="00D57CF2"/>
    <w:rsid w:val="00D60EC7"/>
    <w:rsid w:val="00D61008"/>
    <w:rsid w:val="00D63037"/>
    <w:rsid w:val="00D6484C"/>
    <w:rsid w:val="00D714D5"/>
    <w:rsid w:val="00D74A41"/>
    <w:rsid w:val="00D86DD1"/>
    <w:rsid w:val="00D87025"/>
    <w:rsid w:val="00DA2EB5"/>
    <w:rsid w:val="00DA7A88"/>
    <w:rsid w:val="00DB0B97"/>
    <w:rsid w:val="00DB2959"/>
    <w:rsid w:val="00DC0181"/>
    <w:rsid w:val="00DC1F61"/>
    <w:rsid w:val="00DC5961"/>
    <w:rsid w:val="00DE42B6"/>
    <w:rsid w:val="00DE48FD"/>
    <w:rsid w:val="00DE7169"/>
    <w:rsid w:val="00DF3F8F"/>
    <w:rsid w:val="00DF67C5"/>
    <w:rsid w:val="00E00D10"/>
    <w:rsid w:val="00E0428B"/>
    <w:rsid w:val="00E07CFA"/>
    <w:rsid w:val="00E16BD7"/>
    <w:rsid w:val="00E275DE"/>
    <w:rsid w:val="00E3357E"/>
    <w:rsid w:val="00E3415E"/>
    <w:rsid w:val="00E34F7F"/>
    <w:rsid w:val="00E37738"/>
    <w:rsid w:val="00E41A28"/>
    <w:rsid w:val="00E44AE6"/>
    <w:rsid w:val="00E4736C"/>
    <w:rsid w:val="00E64911"/>
    <w:rsid w:val="00E6674E"/>
    <w:rsid w:val="00E72849"/>
    <w:rsid w:val="00E75A69"/>
    <w:rsid w:val="00E85116"/>
    <w:rsid w:val="00E855E1"/>
    <w:rsid w:val="00E9046B"/>
    <w:rsid w:val="00E91A69"/>
    <w:rsid w:val="00E9362E"/>
    <w:rsid w:val="00E939A6"/>
    <w:rsid w:val="00EA0D7B"/>
    <w:rsid w:val="00EA541A"/>
    <w:rsid w:val="00EB2C1D"/>
    <w:rsid w:val="00EB4DFC"/>
    <w:rsid w:val="00EB55EB"/>
    <w:rsid w:val="00EB6610"/>
    <w:rsid w:val="00EC2EB8"/>
    <w:rsid w:val="00ED67F0"/>
    <w:rsid w:val="00EE3F02"/>
    <w:rsid w:val="00EE540F"/>
    <w:rsid w:val="00EF110B"/>
    <w:rsid w:val="00F02249"/>
    <w:rsid w:val="00F025D0"/>
    <w:rsid w:val="00F02834"/>
    <w:rsid w:val="00F044E5"/>
    <w:rsid w:val="00F05361"/>
    <w:rsid w:val="00F27B5C"/>
    <w:rsid w:val="00F330AD"/>
    <w:rsid w:val="00F46E0D"/>
    <w:rsid w:val="00F54A7F"/>
    <w:rsid w:val="00F91D8D"/>
    <w:rsid w:val="00F9536F"/>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D9D5-0413-45DB-8E2B-29DF791C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5</Pages>
  <Words>2361</Words>
  <Characters>13459</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225</cp:revision>
  <dcterms:created xsi:type="dcterms:W3CDTF">2017-06-27T09:46:00Z</dcterms:created>
  <dcterms:modified xsi:type="dcterms:W3CDTF">2017-07-08T11:06:00Z</dcterms:modified>
</cp:coreProperties>
</file>