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451FF" w:rsidRPr="000451FF">
        <w:rPr>
          <w:rFonts w:ascii="GHEA Grapalat" w:hAnsi="GHEA Grapalat" w:cs="Sylfaen"/>
          <w:i/>
          <w:sz w:val="20"/>
          <w:lang w:val="af-ZA"/>
        </w:rPr>
        <w:t>ՀՀ Արարատի մարզի Նոր Ուղի համայնքի նոր մանկապարտեզի (60 տեղով) կառուցման նախագծային աշխատանքների</w:t>
      </w:r>
      <w:r w:rsidR="000451F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0451FF">
        <w:rPr>
          <w:rFonts w:ascii="GHEA Grapalat" w:hAnsi="GHEA Grapalat" w:cs="Sylfaen"/>
          <w:sz w:val="20"/>
          <w:lang w:val="af-ZA"/>
        </w:rPr>
        <w:t>ՀՀՔՊԿ-ԳՀԱՇՁԲ-17/12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0451FF">
        <w:rPr>
          <w:rFonts w:ascii="GHEA Grapalat" w:hAnsi="GHEA Grapalat" w:cs="Sylfaen"/>
          <w:sz w:val="20"/>
          <w:lang w:val="af-ZA"/>
        </w:rPr>
        <w:t xml:space="preserve"> օգոստոսի 23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0451FF">
        <w:rPr>
          <w:rFonts w:ascii="GHEA Grapalat" w:hAnsi="GHEA Grapalat" w:cs="Sylfaen"/>
          <w:sz w:val="20"/>
          <w:lang w:val="af-ZA"/>
        </w:rPr>
        <w:t>ՀՀՔՊԿ-ԳՀԱՇՁԲ-17/12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82"/>
        <w:gridCol w:w="40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2E332C">
        <w:trPr>
          <w:trHeight w:val="146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8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2E332C">
        <w:trPr>
          <w:trHeight w:val="110"/>
        </w:trPr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2E332C">
        <w:trPr>
          <w:trHeight w:val="175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E332C">
        <w:trPr>
          <w:trHeight w:val="275"/>
        </w:trPr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2E332C">
        <w:trPr>
          <w:trHeight w:val="1825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E332C" w:rsidRDefault="002E332C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Արարատի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մարզի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Ուղի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համայնքի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(60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տեղով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2E332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նախագծային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32C" w:rsidRPr="00617D6C" w:rsidRDefault="002E332C" w:rsidP="002E332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2E332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7 000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32C" w:rsidRPr="002E332C" w:rsidRDefault="002E332C" w:rsidP="002E332C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2E332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2E332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2E332C" w:rsidRDefault="002E332C" w:rsidP="002E332C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Նախագծման-կառուցման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         350-400քմ՝ 60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տեղով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32C" w:rsidRPr="002E332C" w:rsidRDefault="002E332C" w:rsidP="002E332C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մանկապարտեզի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2E332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2E332C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</w:p>
          <w:p w:rsidR="00227F34" w:rsidRPr="00997901" w:rsidRDefault="002E332C" w:rsidP="002E332C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Նախագծման-կառուցման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         350-400քմ՝ 60 </w:t>
            </w:r>
            <w:proofErr w:type="spellStart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տեղով</w:t>
            </w:r>
            <w:proofErr w:type="spellEnd"/>
            <w:r w:rsidRPr="002E332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14DCB" w:rsidTr="002E332C">
        <w:trPr>
          <w:trHeight w:val="403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C3702D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 w:rsidR="000B4DF9">
              <w:rPr>
                <w:rFonts w:ascii="GHEA Grapalat" w:hAnsi="GHEA Grapalat"/>
                <w:sz w:val="14"/>
                <w:szCs w:val="14"/>
              </w:rPr>
              <w:t>,</w:t>
            </w:r>
            <w:r w:rsidR="000B4DF9" w:rsidRPr="00173737">
              <w:rPr>
                <w:rFonts w:ascii="Sylfaen" w:hAnsi="Sylfaen" w:cs="Arial"/>
                <w:b/>
                <w:bCs/>
                <w:color w:val="222222"/>
                <w:lang w:val="af-ZA"/>
              </w:rPr>
              <w:t xml:space="preserve"> </w:t>
            </w:r>
          </w:p>
          <w:p w:rsidR="002D0BF6" w:rsidRPr="000B4DF9" w:rsidRDefault="000B4DF9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N 448 – 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B14DCB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B14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2E332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E332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B14DCB">
        <w:trPr>
          <w:trHeight w:val="27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295415" w:rsidRDefault="00B10B3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DCB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295415" w:rsidRDefault="00B14DC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1 280 000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295415" w:rsidRDefault="00B14DC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1 280 000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1 280 000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1 280 000</w:t>
            </w:r>
          </w:p>
        </w:tc>
      </w:tr>
      <w:tr w:rsidR="00997901" w:rsidRPr="00BF7713" w:rsidTr="00B14DC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14DC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1 850 000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1 850 000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1 850 000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14DC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1 850 000</w:t>
            </w:r>
          </w:p>
        </w:tc>
      </w:tr>
      <w:tr w:rsidR="00997901" w:rsidRPr="00BF7713" w:rsidTr="00B14DC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&lt;&lt;Հազարաշեն&gt;&gt;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14DC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2 250 000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2 250 000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2 250 000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14DC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2 250 000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14DC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14DC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lastRenderedPageBreak/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&lt;&lt;Սարգիս և Մարիաննա&gt;&gt;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</w:tr>
      <w:tr w:rsidR="00997901" w:rsidRPr="00BF7713" w:rsidTr="0095376D">
        <w:trPr>
          <w:trHeight w:val="22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B14D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B14DCB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&lt;&lt;ՀԳՇՆ&gt;&gt;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5 000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5 000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1 000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1 000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6 000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 w:rsidTr="00295415">
        <w:trPr>
          <w:trHeight w:val="241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B14DC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2 150 000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2 150 000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B14DCB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2 150 000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B14DC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2 150 000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4 000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4 000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414208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4 000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 xml:space="preserve">4 000 </w:t>
            </w:r>
            <w:proofErr w:type="spellStart"/>
            <w:r w:rsidRPr="00295415"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295415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4DCB" w:rsidRDefault="00B14DCB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&lt;&lt;Շին 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1 000 590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1 000 590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295415" w:rsidRDefault="0095376D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1 000 590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295415" w:rsidRDefault="0095376D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5415">
              <w:rPr>
                <w:rFonts w:ascii="GHEA Grapalat" w:hAnsi="GHEA Grapalat"/>
                <w:sz w:val="14"/>
                <w:szCs w:val="14"/>
              </w:rPr>
              <w:t>1 000 590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834D95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705182" w:rsidP="00834D95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ան</w:t>
            </w:r>
            <w:r w:rsidR="00997901"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2C194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2C1940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2C1940" w:rsidRDefault="002C19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940" w:rsidRPr="00B10B39" w:rsidRDefault="002C1940" w:rsidP="00B10B39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&lt;&lt;Շին Նախագիծ&gt;&gt;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rPr>
                <w:color w:val="000000" w:themeColor="text1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C1940" w:rsidRPr="002C1940" w:rsidRDefault="002C1940" w:rsidP="009E776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2C1940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14DCB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D95" w:rsidRPr="002C1940" w:rsidRDefault="00834D95" w:rsidP="00834D95">
            <w:pPr>
              <w:pStyle w:val="BodyText2"/>
              <w:spacing w:line="276" w:lineRule="auto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834D9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-ի կողմից ներկայացված հայտը մերժվել է, քանի որ բոլոր փաստաթղթերում բացակայում են էլեկտրոնային թվային ստորագրության արտատպումները:</w:t>
            </w:r>
          </w:p>
          <w:p w:rsidR="00997901" w:rsidRPr="002C1940" w:rsidRDefault="00997901" w:rsidP="002C1940">
            <w:pPr>
              <w:spacing w:line="276" w:lineRule="auto"/>
              <w:jc w:val="both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168DD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ի կողմից ներկայացված հայտը մերժվել է, քանի որ հայտի ապահովման գումարը փոքր է հրավերով պահանջվող չափից (հայտով ներկայացվող գնի հինգ տոկոսի փոխարեն ներկայացվել է </w:t>
            </w:r>
            <w:proofErr w:type="spellStart"/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երկու</w:t>
            </w:r>
            <w:proofErr w:type="spellEnd"/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տոկոսը</w:t>
            </w:r>
            <w:proofErr w:type="spellEnd"/>
            <w:r w:rsidR="00834D95"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)</w:t>
            </w:r>
            <w:r w:rsidR="002C1940"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:</w:t>
            </w:r>
          </w:p>
          <w:p w:rsidR="002C1940" w:rsidRPr="002C1940" w:rsidRDefault="002C1940" w:rsidP="002C1940">
            <w:pPr>
              <w:pStyle w:val="BodyText2"/>
              <w:spacing w:line="276" w:lineRule="auto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B14DCB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&lt;&lt;Շին Նախագիծ&gt;&gt; </w:t>
            </w:r>
            <w:r w:rsidRPr="00834D9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ՍՊԸ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-ի կողմից ներկայացված հայտը մերժվել է, քանի որ </w:t>
            </w:r>
            <w:r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վերջինիս</w:t>
            </w:r>
            <w:r w:rsidRPr="002C1940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 կողմից որակավորման պահանջներին իր համապատասխանությունը հիմնավորող փաստաթղթերը ներկայացվել են հրավերով սահմանված ժամկետի խախտմամբ (ծանուցումն ստանալու օրվանից ոչ թե երեք աշխատանքային օրվա ընթացքում, այլ չորրորդ աշխատանքային օրը):</w:t>
            </w:r>
          </w:p>
        </w:tc>
      </w:tr>
      <w:tr w:rsidR="00997901" w:rsidRPr="00B14DCB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01528" w:rsidP="00C110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110B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110B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</w:t>
            </w:r>
            <w:r w:rsidR="00C110BD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0152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21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C110B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BF7713" w:rsidRDefault="00C110B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4DCB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7B660B" w:rsidP="007B66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ՀՀՔՊԿ-ԳՀԱՇՁԲ-17/</w:t>
            </w:r>
            <w:r w:rsidR="00C110BD">
              <w:rPr>
                <w:rFonts w:ascii="GHEA Grapalat" w:hAnsi="GHEA Grapalat" w:cs="Sylfaen"/>
                <w:sz w:val="14"/>
                <w:szCs w:val="14"/>
                <w:lang w:val="af-ZA"/>
              </w:rPr>
              <w:t>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C110BD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1D36B1" w:rsidP="00C110BD">
            <w:pPr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r w:rsidR="00C110BD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</w:t>
            </w:r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C110BD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1 280 000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C110BD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1 280 000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C110B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4DCB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&lt;&lt;ԱՐԽԻ-ՏՈՒՐ&gt;&gt;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110BD" w:rsidRDefault="00C110B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10BD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ՀՀ Արագածոտնի մարզ, ք. Աշտարակ, Շահազիզի 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110BD" w:rsidRDefault="00C110B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k.hoveyan@gmail.com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47872" w:rsidRDefault="0094787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7872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nb-NO"/>
              </w:rPr>
              <w:t>220043330566500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947872" w:rsidRDefault="0094787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47872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nb-NO"/>
              </w:rPr>
              <w:t>05010092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92" w:rsidRDefault="002C3392">
      <w:r>
        <w:separator/>
      </w:r>
    </w:p>
  </w:endnote>
  <w:endnote w:type="continuationSeparator" w:id="0">
    <w:p w:rsidR="002C3392" w:rsidRDefault="002C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363F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92" w:rsidRDefault="002C3392">
      <w:r>
        <w:separator/>
      </w:r>
    </w:p>
  </w:footnote>
  <w:footnote w:type="continuationSeparator" w:id="0">
    <w:p w:rsidR="002C3392" w:rsidRDefault="002C3392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451FF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0C3"/>
    <w:rsid w:val="0014470D"/>
    <w:rsid w:val="001466A8"/>
    <w:rsid w:val="001517BC"/>
    <w:rsid w:val="001563E9"/>
    <w:rsid w:val="001628D6"/>
    <w:rsid w:val="00177E80"/>
    <w:rsid w:val="00180617"/>
    <w:rsid w:val="00185136"/>
    <w:rsid w:val="001860C6"/>
    <w:rsid w:val="00195C8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415"/>
    <w:rsid w:val="002955FD"/>
    <w:rsid w:val="002A5B15"/>
    <w:rsid w:val="002B3F6D"/>
    <w:rsid w:val="002C1940"/>
    <w:rsid w:val="002C3392"/>
    <w:rsid w:val="002C5839"/>
    <w:rsid w:val="002C60EF"/>
    <w:rsid w:val="002D0BF6"/>
    <w:rsid w:val="002D7877"/>
    <w:rsid w:val="002E332C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FDA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E092C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A2EC8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1C76"/>
    <w:rsid w:val="00823294"/>
    <w:rsid w:val="00834D95"/>
    <w:rsid w:val="0085228E"/>
    <w:rsid w:val="00861E4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872"/>
    <w:rsid w:val="009507AF"/>
    <w:rsid w:val="0095376D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7CE"/>
    <w:rsid w:val="00A70700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4DCB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10B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262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0C"/>
    <w:rsid w:val="00F408C7"/>
    <w:rsid w:val="00F4128C"/>
    <w:rsid w:val="00F416F7"/>
    <w:rsid w:val="00F4674A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08FF-77E9-4462-927C-68E0AD92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27</cp:revision>
  <cp:lastPrinted>2017-08-15T08:01:00Z</cp:lastPrinted>
  <dcterms:created xsi:type="dcterms:W3CDTF">2017-08-02T13:46:00Z</dcterms:created>
  <dcterms:modified xsi:type="dcterms:W3CDTF">2017-08-28T07:12:00Z</dcterms:modified>
</cp:coreProperties>
</file>