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Pr="00742DFB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29683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Pr="00742DFB">
        <w:rPr>
          <w:rFonts w:ascii="GHEA Grapalat" w:hAnsi="GHEA Grapalat"/>
          <w:i w:val="0"/>
          <w:sz w:val="24"/>
          <w:szCs w:val="24"/>
          <w:lang w:val="ru-RU"/>
        </w:rPr>
        <w:t>сентября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2017  года "номер решения" и публикуется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ГХАШДЗБ-2017-ЫВ/НОЙ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E54E65" w:rsidRPr="00A63989" w:rsidRDefault="00E54E65" w:rsidP="00E54E65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Pr="00E47340">
        <w:rPr>
          <w:rFonts w:ascii="GHEA Grapalat" w:hAnsi="GHEA Grapalat"/>
          <w:b/>
          <w:i w:val="0"/>
          <w:sz w:val="24"/>
          <w:szCs w:val="24"/>
          <w:lang w:val="ru-RU"/>
        </w:rPr>
        <w:t xml:space="preserve">текущих ремонтных работ зданий и сооружений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>наименование работы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E54E65" w:rsidRPr="00A63989" w:rsidRDefault="00E54E65" w:rsidP="00E54E65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Style w:val="Normal"/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10:00 часов 8 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8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10:00 часов на 8 день с даты опубликования настоящего объявления.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Н. Едигарян.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Pr="00E54E6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59-60-39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E54E65" w:rsidRPr="00A63989" w:rsidRDefault="00E54E65" w:rsidP="00E54E65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E47340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F75E0D" w:rsidRDefault="00F75E0D"/>
    <w:sectPr w:rsidR="00F75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>
    <w:useFELayout/>
  </w:compat>
  <w:rsids>
    <w:rsidRoot w:val="00E54E65"/>
    <w:rsid w:val="00E54E65"/>
    <w:rsid w:val="00F7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54E6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54E6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2017-09-28T11:43:00Z</dcterms:created>
  <dcterms:modified xsi:type="dcterms:W3CDTF">2017-09-28T11:43:00Z</dcterms:modified>
</cp:coreProperties>
</file>