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7A" w:rsidRDefault="000C3D7A" w:rsidP="00BB78FC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C3D7A" w:rsidRDefault="000C3D7A" w:rsidP="00BB78FC">
      <w:pPr>
        <w:spacing w:after="0"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3D7A" w:rsidRDefault="000C3D7A" w:rsidP="00BB78FC">
      <w:pPr>
        <w:pStyle w:val="Heading3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(</w:t>
      </w:r>
      <w:r>
        <w:rPr>
          <w:rFonts w:ascii="GHEA Grapalat" w:hAnsi="GHEA Grapalat" w:cs="Sylfaen"/>
          <w:b w:val="0"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sz w:val="20"/>
          <w:lang w:val="af-ZA"/>
        </w:rPr>
        <w:t xml:space="preserve">)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3D7A" w:rsidRDefault="000C3D7A" w:rsidP="00BB78FC">
      <w:pPr>
        <w:pStyle w:val="Heading3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10-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D7A" w:rsidRPr="00BB78FC" w:rsidRDefault="000C3D7A" w:rsidP="00BB78FC">
      <w:pPr>
        <w:tabs>
          <w:tab w:val="left" w:pos="8083"/>
        </w:tabs>
        <w:spacing w:after="0" w:line="240" w:lineRule="auto"/>
        <w:rPr>
          <w:rFonts w:ascii="GHEA Grapalat" w:hAnsi="GHEA Grapalat"/>
          <w:sz w:val="2"/>
          <w:lang w:val="af-ZA"/>
        </w:rPr>
      </w:pPr>
      <w:r w:rsidRPr="00BB78FC">
        <w:rPr>
          <w:rFonts w:ascii="GHEA Grapalat" w:hAnsi="GHEA Grapalat"/>
          <w:sz w:val="2"/>
          <w:lang w:val="af-ZA"/>
        </w:rPr>
        <w:tab/>
      </w:r>
    </w:p>
    <w:p w:rsidR="000C3D7A" w:rsidRPr="003E4897" w:rsidRDefault="000C3D7A" w:rsidP="00BB78FC">
      <w:pPr>
        <w:pStyle w:val="Heading3"/>
        <w:rPr>
          <w:bCs/>
          <w:szCs w:val="28"/>
          <w:lang w:val="af-ZA"/>
        </w:rPr>
      </w:pPr>
      <w:r w:rsidRPr="003E4897">
        <w:rPr>
          <w:rFonts w:ascii="GHEA Grapalat" w:hAnsi="GHEA Grapalat" w:cs="Sylfaen"/>
          <w:i/>
          <w:szCs w:val="24"/>
          <w:lang w:val="af-ZA"/>
        </w:rPr>
        <w:t>ԱՌԱՆՑ ՀԱՅՏԱՐԱՐՈՒԹՅԱՆ</w:t>
      </w:r>
      <w:r w:rsidRPr="003E4897">
        <w:rPr>
          <w:rFonts w:ascii="GHEA Grapalat" w:hAnsi="GHEA Grapalat"/>
          <w:szCs w:val="24"/>
          <w:lang w:val="af-ZA"/>
        </w:rPr>
        <w:t xml:space="preserve"> </w:t>
      </w:r>
      <w:r w:rsidRPr="003E4897">
        <w:rPr>
          <w:rFonts w:ascii="GHEA Grapalat" w:hAnsi="GHEA Grapalat"/>
          <w:i/>
          <w:szCs w:val="24"/>
          <w:lang w:val="af-ZA"/>
        </w:rPr>
        <w:t xml:space="preserve">ԲԱՆԱԿՑԱՅԻՆ </w:t>
      </w:r>
      <w:r w:rsidRPr="003E4897">
        <w:rPr>
          <w:rFonts w:ascii="GHEA Grapalat" w:hAnsi="GHEA Grapalat" w:cs="Sylfaen"/>
          <w:i/>
          <w:szCs w:val="24"/>
          <w:lang w:val="af-ZA"/>
        </w:rPr>
        <w:t>ԸՆԹԱՑԱԿԱՐԳԻ</w:t>
      </w:r>
      <w:r w:rsidRPr="003E4897">
        <w:rPr>
          <w:rFonts w:ascii="GHEA Grapalat" w:hAnsi="GHEA Grapalat" w:cs="Sylfaen"/>
          <w:szCs w:val="24"/>
          <w:lang w:val="af-ZA"/>
        </w:rPr>
        <w:t xml:space="preserve"> </w:t>
      </w:r>
      <w:r w:rsidRPr="003E4897">
        <w:rPr>
          <w:rFonts w:ascii="GHEA Grapalat" w:hAnsi="GHEA Grapalat" w:cs="Sylfaen"/>
          <w:i/>
          <w:szCs w:val="28"/>
          <w:lang w:val="af-ZA"/>
        </w:rPr>
        <w:t>ԾԱԾԿԱԳԻՐԸ՝</w:t>
      </w:r>
      <w:r w:rsidRPr="003E4897">
        <w:rPr>
          <w:bCs/>
          <w:szCs w:val="28"/>
          <w:lang w:val="af-ZA"/>
        </w:rPr>
        <w:t xml:space="preserve"> </w:t>
      </w:r>
    </w:p>
    <w:p w:rsidR="000C3D7A" w:rsidRPr="009E514A" w:rsidRDefault="000C3D7A" w:rsidP="00BB78FC">
      <w:pPr>
        <w:pStyle w:val="Heading2"/>
        <w:spacing w:before="0" w:after="0"/>
        <w:ind w:left="360" w:right="432"/>
        <w:rPr>
          <w:rFonts w:ascii="Sylfaen" w:hAnsi="Sylfaen"/>
          <w:sz w:val="24"/>
          <w:szCs w:val="24"/>
          <w:lang w:val="es-ES"/>
        </w:rPr>
      </w:pP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ՀՀ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ԿԱ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Ո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ԾՁԲ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-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Ա</w:t>
      </w:r>
      <w:r w:rsidRPr="009E514A">
        <w:rPr>
          <w:rFonts w:ascii="Sylfaen" w:hAnsi="Sylfaen"/>
          <w:color w:val="000000"/>
          <w:sz w:val="24"/>
          <w:szCs w:val="24"/>
          <w:lang w:val="af-ZA"/>
        </w:rPr>
        <w:t>ՎՏ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ՍԾ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>/201</w:t>
      </w:r>
      <w:r w:rsidR="004D0DB1">
        <w:rPr>
          <w:rFonts w:ascii="Sylfaen" w:hAnsi="Sylfaen" w:cs="Times Armenian"/>
          <w:color w:val="000000"/>
          <w:sz w:val="24"/>
          <w:szCs w:val="24"/>
          <w:lang w:val="af-ZA"/>
        </w:rPr>
        <w:t>4</w:t>
      </w:r>
      <w:r w:rsidRPr="009E514A">
        <w:rPr>
          <w:rFonts w:ascii="Sylfaen" w:hAnsi="Sylfaen"/>
          <w:color w:val="000000"/>
          <w:sz w:val="24"/>
          <w:szCs w:val="24"/>
          <w:lang w:val="af-ZA"/>
        </w:rPr>
        <w:t>-ՃՈ</w:t>
      </w:r>
      <w:r w:rsidR="004D0DB1">
        <w:rPr>
          <w:rFonts w:ascii="Sylfaen" w:hAnsi="Sylfaen"/>
          <w:color w:val="000000"/>
          <w:sz w:val="24"/>
          <w:szCs w:val="24"/>
          <w:lang w:val="af-ZA"/>
        </w:rPr>
        <w:t>/1</w:t>
      </w:r>
    </w:p>
    <w:p w:rsidR="000C3D7A" w:rsidRDefault="000C3D7A" w:rsidP="00BB78FC">
      <w:pPr>
        <w:pStyle w:val="Heading2"/>
        <w:spacing w:before="0" w:after="0"/>
        <w:ind w:right="432" w:firstLine="45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նալբանդյան 130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FA1202">
        <w:rPr>
          <w:rFonts w:ascii="GHEA Grapalat" w:hAnsi="GHEA Grapalat"/>
          <w:szCs w:val="24"/>
          <w:lang w:val="af-ZA"/>
        </w:rPr>
        <w:t xml:space="preserve"> </w:t>
      </w:r>
      <w:r w:rsidRPr="00FA1202">
        <w:rPr>
          <w:rFonts w:ascii="GHEA Grapalat" w:hAnsi="GHEA Grapalat" w:cs="Sylfaen"/>
          <w:szCs w:val="24"/>
          <w:lang w:val="af-ZA"/>
        </w:rPr>
        <w:t>է</w:t>
      </w:r>
      <w:r w:rsidRPr="00FA1202">
        <w:rPr>
          <w:bCs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ՀՀ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ԿԱ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Ո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ԾՁԲ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>-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Ա</w:t>
      </w:r>
      <w:r w:rsidRPr="009E514A">
        <w:rPr>
          <w:rFonts w:ascii="Sylfaen" w:hAnsi="Sylfaen"/>
          <w:color w:val="000000"/>
          <w:sz w:val="24"/>
          <w:szCs w:val="24"/>
          <w:lang w:val="af-ZA"/>
        </w:rPr>
        <w:t>ՎՏ</w:t>
      </w:r>
      <w:r w:rsidRPr="009E514A">
        <w:rPr>
          <w:rFonts w:ascii="Sylfaen" w:hAnsi="Sylfaen" w:cs="Sylfaen"/>
          <w:color w:val="000000"/>
          <w:sz w:val="24"/>
          <w:szCs w:val="24"/>
          <w:lang w:val="af-ZA"/>
        </w:rPr>
        <w:t>ՍԾ</w:t>
      </w:r>
      <w:r w:rsidRPr="009E514A">
        <w:rPr>
          <w:rFonts w:ascii="Sylfaen" w:hAnsi="Sylfaen" w:cs="Times Armenian"/>
          <w:color w:val="000000"/>
          <w:sz w:val="24"/>
          <w:szCs w:val="24"/>
          <w:lang w:val="af-ZA"/>
        </w:rPr>
        <w:t>/201</w:t>
      </w:r>
      <w:r w:rsidR="004D0DB1">
        <w:rPr>
          <w:rFonts w:ascii="Sylfaen" w:hAnsi="Sylfaen" w:cs="Times Armenian"/>
          <w:color w:val="000000"/>
          <w:sz w:val="24"/>
          <w:szCs w:val="24"/>
          <w:lang w:val="af-ZA"/>
        </w:rPr>
        <w:t>4</w:t>
      </w:r>
      <w:r w:rsidRPr="009E514A">
        <w:rPr>
          <w:rFonts w:ascii="Sylfaen" w:hAnsi="Sylfaen"/>
          <w:color w:val="000000"/>
          <w:sz w:val="24"/>
          <w:szCs w:val="24"/>
          <w:lang w:val="af-ZA"/>
        </w:rPr>
        <w:t>-ՃՈ</w:t>
      </w:r>
      <w:r w:rsidR="004D0DB1">
        <w:rPr>
          <w:rFonts w:ascii="Sylfaen" w:hAnsi="Sylfaen"/>
          <w:color w:val="000000"/>
          <w:sz w:val="24"/>
          <w:szCs w:val="24"/>
          <w:lang w:val="af-ZA"/>
        </w:rPr>
        <w:t>/1</w:t>
      </w:r>
      <w:r>
        <w:rPr>
          <w:bCs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բանակցային </w:t>
      </w:r>
      <w:r>
        <w:rPr>
          <w:rFonts w:ascii="GHEA Grapalat" w:hAnsi="GHEA Grapalat" w:cs="Sylfaen"/>
          <w:sz w:val="20"/>
          <w:lang w:val="af-ZA"/>
        </w:rPr>
        <w:t xml:space="preserve">ընթացակարգ առանց հայտարարության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C3D7A" w:rsidRPr="00BB78FC" w:rsidRDefault="000C3D7A" w:rsidP="000C3D7A">
      <w:pPr>
        <w:rPr>
          <w:sz w:val="4"/>
          <w:lang w:val="af-ZA"/>
        </w:rPr>
      </w:pPr>
    </w:p>
    <w:tbl>
      <w:tblPr>
        <w:tblW w:w="10980" w:type="dxa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1"/>
        <w:gridCol w:w="92"/>
        <w:gridCol w:w="827"/>
        <w:gridCol w:w="20"/>
        <w:gridCol w:w="148"/>
        <w:gridCol w:w="27"/>
        <w:gridCol w:w="144"/>
        <w:gridCol w:w="164"/>
        <w:gridCol w:w="389"/>
        <w:gridCol w:w="12"/>
        <w:gridCol w:w="180"/>
        <w:gridCol w:w="127"/>
        <w:gridCol w:w="507"/>
        <w:gridCol w:w="161"/>
        <w:gridCol w:w="30"/>
        <w:gridCol w:w="438"/>
        <w:gridCol w:w="182"/>
        <w:gridCol w:w="6"/>
        <w:gridCol w:w="174"/>
        <w:gridCol w:w="693"/>
        <w:gridCol w:w="224"/>
        <w:gridCol w:w="173"/>
        <w:gridCol w:w="16"/>
        <w:gridCol w:w="344"/>
        <w:gridCol w:w="370"/>
        <w:gridCol w:w="6"/>
        <w:gridCol w:w="187"/>
        <w:gridCol w:w="152"/>
        <w:gridCol w:w="265"/>
        <w:gridCol w:w="192"/>
        <w:gridCol w:w="101"/>
        <w:gridCol w:w="167"/>
        <w:gridCol w:w="361"/>
        <w:gridCol w:w="375"/>
        <w:gridCol w:w="151"/>
        <w:gridCol w:w="31"/>
        <w:gridCol w:w="186"/>
        <w:gridCol w:w="26"/>
        <w:gridCol w:w="327"/>
        <w:gridCol w:w="534"/>
        <w:gridCol w:w="366"/>
        <w:gridCol w:w="795"/>
      </w:tblGrid>
      <w:tr w:rsidR="000C3D7A" w:rsidTr="000C3D7A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C3D7A" w:rsidTr="004D0DB1">
        <w:trPr>
          <w:trHeight w:val="110"/>
        </w:trPr>
        <w:tc>
          <w:tcPr>
            <w:tcW w:w="10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36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0C3D7A" w:rsidTr="004D0DB1">
        <w:trPr>
          <w:trHeight w:val="1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3D7A" w:rsidTr="004D0DB1">
        <w:trPr>
          <w:trHeight w:val="2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0DB1" w:rsidRPr="004D0DB1" w:rsidTr="004D0DB1">
        <w:trPr>
          <w:trHeight w:val="40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DB1" w:rsidRDefault="004D0DB1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4D0DB1" w:rsidRDefault="004D0DB1" w:rsidP="004D0D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D0DB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Տոյոտա մակնիշի ավտոմոբիլների տեխնիկական սպասարկման և վերանորոգման ծառայություն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FA1202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Times Armenian" w:hAnsi="Times Armenian"/>
                <w:sz w:val="18"/>
                <w:szCs w:val="18"/>
                <w:lang w:bidi="he-IL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300 000 000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300 000 000</w:t>
            </w:r>
          </w:p>
        </w:tc>
        <w:tc>
          <w:tcPr>
            <w:tcW w:w="3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4D0DB1" w:rsidRDefault="004D0DB1" w:rsidP="004D0DB1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0DB1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&lt;Տոյոտա-Երևան&gt; ՍՊԸ-ից 2007-2010թթ. ձեռքբերված 341 միավոր &lt;Տոյոտա&gt; մակնիշի /Տոյոտա Կորոլլա-319 միավոր, Տոյոտա Պրադո-12 միավոր, Տոյոտա-Յարիս-8 միավոր, Տոյոտա հայս-2 միավոր/ մարդատար ավտոմոբիլների տեխնիկական սպասարկման և վերանորոգման ծառայությունը ներառում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                                    </w:t>
            </w:r>
            <w:r w:rsidRPr="004D0DB1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ՏՍ-1 ծառայություն /տեխ. զննում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/                             </w:t>
            </w:r>
            <w:r w:rsidRPr="004D0DB1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ՏՍ-2 ծառայություն /տեխ. սպասարկում և վերանորոգում:</w:t>
            </w:r>
          </w:p>
        </w:tc>
      </w:tr>
      <w:tr w:rsidR="000C3D7A" w:rsidTr="004D0DB1">
        <w:trPr>
          <w:trHeight w:val="182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RPr="004D0DB1" w:rsidTr="000C3D7A">
        <w:trPr>
          <w:trHeight w:val="137"/>
        </w:trPr>
        <w:tc>
          <w:tcPr>
            <w:tcW w:w="41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4D0DB1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1A233E" w:rsidRDefault="000C3D7A" w:rsidP="004D0DB1">
            <w:pPr>
              <w:spacing w:after="0" w:line="240" w:lineRule="auto"/>
              <w:ind w:left="-180" w:right="-450"/>
              <w:jc w:val="both"/>
              <w:rPr>
                <w:rFonts w:ascii="Arial LatArm" w:hAnsi="Arial LatArm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1A233E">
              <w:rPr>
                <w:rFonts w:ascii="Arial LatArm" w:hAnsi="Sylfaen"/>
                <w:sz w:val="18"/>
                <w:szCs w:val="18"/>
              </w:rPr>
              <w:t>Գն</w:t>
            </w:r>
            <w:r w:rsidRPr="001A233E">
              <w:rPr>
                <w:rFonts w:ascii="Arial LatArm" w:hAnsi="Arial LatArm"/>
                <w:sz w:val="18"/>
                <w:szCs w:val="18"/>
                <w:lang w:val="es-ES"/>
              </w:rPr>
              <w:t xml:space="preserve">áõÙÁ Ý»ñ³éí³Í  ¿ </w:t>
            </w:r>
            <w:r w:rsidRPr="001A233E">
              <w:rPr>
                <w:rFonts w:ascii="Arial LatArm" w:hAnsi="Arial LatArm"/>
                <w:bCs/>
                <w:sz w:val="18"/>
                <w:szCs w:val="18"/>
                <w:lang w:val="af-ZA"/>
              </w:rPr>
              <w:t>ÐÐ Ï³é³í³ñáõÃÛ³Ý 10.02.2011Ã. ÃÇí 168-Ü áñáßÙ³Ý 32-ñ¹</w:t>
            </w:r>
          </w:p>
          <w:p w:rsidR="000C3D7A" w:rsidRPr="004D0DB1" w:rsidRDefault="000C3D7A" w:rsidP="004D0DB1">
            <w:pPr>
              <w:spacing w:after="0" w:line="240" w:lineRule="auto"/>
              <w:ind w:left="-180" w:right="-450"/>
              <w:jc w:val="both"/>
              <w:rPr>
                <w:rFonts w:ascii="Times Armenian" w:hAnsi="Times Armenian"/>
                <w:sz w:val="18"/>
                <w:szCs w:val="18"/>
                <w:lang w:val="es-ES"/>
              </w:rPr>
            </w:pPr>
            <w:r w:rsidRPr="001A233E">
              <w:rPr>
                <w:rFonts w:ascii="Arial LatArm" w:hAnsi="Arial LatArm"/>
                <w:bCs/>
                <w:sz w:val="18"/>
                <w:szCs w:val="18"/>
                <w:lang w:val="af-ZA"/>
              </w:rPr>
              <w:t xml:space="preserve">   Ï»ïÇ 4-ñ¹ »ÝÃ³Ï»ïáí Ñ³ëï³ïí³Í ó³ÝÏÇ 28-ñ¹ ïáÕáõÙ:</w:t>
            </w:r>
            <w:r w:rsidRPr="001A233E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ab/>
              <w:t xml:space="preserve"> </w:t>
            </w:r>
          </w:p>
        </w:tc>
      </w:tr>
      <w:tr w:rsidR="000C3D7A" w:rsidRPr="004D0DB1" w:rsidTr="000C3D7A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Pr="003E4897" w:rsidRDefault="000C3D7A" w:rsidP="004D0DB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0C3D7A" w:rsidRPr="004D0DB1" w:rsidTr="000C3D7A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C3D7A" w:rsidTr="000C3D7A"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C3D7A" w:rsidTr="000C3D7A"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4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="004D0DB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Այո</w:t>
            </w:r>
          </w:p>
        </w:tc>
      </w:tr>
      <w:tr w:rsidR="000C3D7A" w:rsidTr="000C3D7A"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155"/>
        </w:trPr>
        <w:tc>
          <w:tcPr>
            <w:tcW w:w="676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C3D7A" w:rsidRPr="00D96A29" w:rsidRDefault="004D0DB1" w:rsidP="004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24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,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,201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0C3D7A" w:rsidTr="000C3D7A">
        <w:trPr>
          <w:trHeight w:val="164"/>
        </w:trPr>
        <w:tc>
          <w:tcPr>
            <w:tcW w:w="60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502"/>
        </w:trPr>
        <w:tc>
          <w:tcPr>
            <w:tcW w:w="60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47"/>
        </w:trPr>
        <w:tc>
          <w:tcPr>
            <w:tcW w:w="60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C3D7A" w:rsidTr="000C3D7A">
        <w:trPr>
          <w:trHeight w:val="47"/>
        </w:trPr>
        <w:tc>
          <w:tcPr>
            <w:tcW w:w="60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4D0DB1">
        <w:trPr>
          <w:trHeight w:val="243"/>
        </w:trPr>
        <w:tc>
          <w:tcPr>
            <w:tcW w:w="60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0"/>
        </w:trPr>
        <w:tc>
          <w:tcPr>
            <w:tcW w:w="1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0C3D7A" w:rsidTr="000C3D7A">
        <w:trPr>
          <w:trHeight w:val="213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6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C3D7A" w:rsidTr="000C3D7A">
        <w:trPr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0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C3D7A" w:rsidTr="004D0DB1">
        <w:trPr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D0DB1" w:rsidTr="004D0DB1">
        <w:trPr>
          <w:trHeight w:val="83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DB1" w:rsidRDefault="004D0DB1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&lt;&lt;ՏՈՅՈՏԱ ԵՐԵՎԱՆ&gt;&gt;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3E4897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250 000 000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3E4897" w:rsidRDefault="004D0DB1" w:rsidP="00FF79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250 000 000</w:t>
            </w: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E4186F" w:rsidRDefault="004D0DB1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50 000 000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E4186F" w:rsidRDefault="004D0DB1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50 000 000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300 000 000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4D0DB1" w:rsidRDefault="004D0DB1" w:rsidP="00FF79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4D0DB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300 000 000</w:t>
            </w:r>
          </w:p>
        </w:tc>
      </w:tr>
      <w:tr w:rsidR="000C3D7A" w:rsidTr="004D0DB1">
        <w:trPr>
          <w:trHeight w:val="47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290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3D7A" w:rsidTr="000C3D7A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3D7A" w:rsidTr="000C3D7A"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3D7A" w:rsidTr="000C3D7A"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344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C3D7A" w:rsidTr="000C3D7A">
        <w:trPr>
          <w:trHeight w:val="237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C3D7A" w:rsidTr="000C3D7A">
        <w:trPr>
          <w:trHeight w:val="238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0C3D7A" w:rsidTr="000C3D7A">
        <w:trPr>
          <w:trHeight w:val="263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0C3D7A" w:rsidTr="00BB78FC">
        <w:trPr>
          <w:trHeight w:val="30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&lt;&lt;ՏՈՅՈՏԱ ԵՐԵՎԱՆ&gt;&gt;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9E514A" w:rsidRDefault="000C3D7A" w:rsidP="004D0DB1">
            <w:pPr>
              <w:widowControl w:val="0"/>
              <w:rPr>
                <w:rFonts w:ascii="Times Armenian" w:hAnsi="Times Armenian"/>
                <w:b/>
                <w:sz w:val="18"/>
                <w:szCs w:val="18"/>
                <w:lang w:val="hy-AM" w:eastAsia="ru-RU"/>
              </w:rPr>
            </w:pP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ՀՀ</w:t>
            </w:r>
            <w:r w:rsidRPr="009E514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ԿԱ</w:t>
            </w:r>
            <w:r w:rsidRPr="009E514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Ո</w:t>
            </w:r>
            <w:r w:rsidRPr="009E514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ԾՁԲ</w:t>
            </w:r>
            <w:r w:rsidRPr="009E514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-</w:t>
            </w: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Ա</w:t>
            </w:r>
            <w:r w:rsidRPr="009E514A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ՎՏ</w:t>
            </w:r>
            <w:r w:rsidRPr="009E514A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ՍԾ</w:t>
            </w:r>
            <w:r w:rsidRPr="009E514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/201</w:t>
            </w:r>
            <w:r w:rsidR="004D0DB1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4</w:t>
            </w:r>
            <w:r w:rsidRPr="009E514A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-ՃՈ</w:t>
            </w:r>
            <w:r w:rsidR="004D0DB1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/1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4D0DB1" w:rsidP="000C3D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05.02.2014</w:t>
            </w:r>
            <w:r w:rsidR="000C3D7A"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4D0D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,12,201</w:t>
            </w:r>
            <w:r w:rsidR="004D0DB1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00 000 000</w:t>
            </w: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4D0DB1" w:rsidP="004D0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</w:t>
            </w:r>
            <w:r w:rsidR="000C3D7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00 000 000</w:t>
            </w:r>
          </w:p>
        </w:tc>
      </w:tr>
      <w:tr w:rsidR="000C3D7A" w:rsidTr="000C3D7A">
        <w:trPr>
          <w:trHeight w:val="11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C3D7A" w:rsidTr="000C3D7A">
        <w:trPr>
          <w:trHeight w:val="1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3D7A" w:rsidRPr="008153FB" w:rsidTr="000C3D7A">
        <w:trPr>
          <w:trHeight w:val="1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&lt;&lt;ՏՈՅՈՏԱ ԵՐԵՎԱՆ&gt;&gt; 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85359A" w:rsidRDefault="000C3D7A" w:rsidP="00EB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8153FB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Երևան 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Բայրոնի</w:t>
            </w:r>
            <w:r w:rsidRPr="0085359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փ</w:t>
            </w:r>
            <w:r w:rsidRPr="0085359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85359A" w:rsidRDefault="000C3D7A" w:rsidP="00EB6E86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  <w:t>1570003667300100</w:t>
            </w: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85359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01557589</w:t>
            </w:r>
          </w:p>
        </w:tc>
      </w:tr>
      <w:tr w:rsidR="000C3D7A" w:rsidRPr="008153FB" w:rsidTr="000C3D7A">
        <w:trPr>
          <w:trHeight w:val="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C3D7A" w:rsidRPr="008153FB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Pr="008153FB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3D7A" w:rsidRPr="004D0DB1" w:rsidTr="000C3D7A">
        <w:trPr>
          <w:trHeight w:val="200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Pr="008153FB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8153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3D7A" w:rsidRPr="004D0DB1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Pr="003E4897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3D7A" w:rsidTr="000C3D7A">
        <w:trPr>
          <w:trHeight w:val="475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3D7A" w:rsidRPr="003E4897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E48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D7A" w:rsidRPr="008153FB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27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8153FB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27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8153FB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27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EB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3D7A" w:rsidTr="000C3D7A">
        <w:trPr>
          <w:trHeight w:val="47"/>
        </w:trPr>
        <w:tc>
          <w:tcPr>
            <w:tcW w:w="31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EB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D0DB1" w:rsidTr="000C3D7A">
        <w:trPr>
          <w:trHeight w:val="47"/>
        </w:trPr>
        <w:tc>
          <w:tcPr>
            <w:tcW w:w="31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8153FB" w:rsidRDefault="004D0DB1" w:rsidP="00FF79DE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 Նազարյան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8153FB" w:rsidRDefault="004D0DB1" w:rsidP="00FF79DE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010-59-68-57</w:t>
            </w:r>
          </w:p>
        </w:tc>
        <w:tc>
          <w:tcPr>
            <w:tcW w:w="38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DB1" w:rsidRPr="008153FB" w:rsidRDefault="004D0DB1" w:rsidP="00EB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police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gnumner@rambler.ru</w:t>
            </w:r>
          </w:p>
        </w:tc>
      </w:tr>
    </w:tbl>
    <w:p w:rsidR="000C3D7A" w:rsidRDefault="000C3D7A" w:rsidP="000C3D7A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0C3D7A" w:rsidRPr="008153FB" w:rsidRDefault="000C3D7A" w:rsidP="000C3D7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ոստիկանություն</w:t>
      </w:r>
    </w:p>
    <w:p w:rsidR="000C3D7A" w:rsidRDefault="000C3D7A" w:rsidP="000C3D7A"/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0C3D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jc w:val="center"/>
        <w:rPr>
          <w:rFonts w:ascii="Arial Armenian" w:hAnsi="Arial Armenian"/>
          <w:sz w:val="14"/>
          <w:lang w:val="es-ES" w:eastAsia="ru-RU"/>
        </w:rPr>
      </w:pPr>
    </w:p>
    <w:p w:rsidR="009D0171" w:rsidRDefault="009D0171"/>
    <w:sectPr w:rsidR="009D0171" w:rsidSect="000C3D7A">
      <w:pgSz w:w="12240" w:h="15840"/>
      <w:pgMar w:top="630" w:right="850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CB7" w:rsidRDefault="003E0CB7" w:rsidP="000C3D7A">
      <w:pPr>
        <w:spacing w:after="0" w:line="240" w:lineRule="auto"/>
      </w:pPr>
      <w:r>
        <w:separator/>
      </w:r>
    </w:p>
  </w:endnote>
  <w:endnote w:type="continuationSeparator" w:id="1">
    <w:p w:rsidR="003E0CB7" w:rsidRDefault="003E0CB7" w:rsidP="000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CB7" w:rsidRDefault="003E0CB7" w:rsidP="000C3D7A">
      <w:pPr>
        <w:spacing w:after="0" w:line="240" w:lineRule="auto"/>
      </w:pPr>
      <w:r>
        <w:separator/>
      </w:r>
    </w:p>
  </w:footnote>
  <w:footnote w:type="continuationSeparator" w:id="1">
    <w:p w:rsidR="003E0CB7" w:rsidRDefault="003E0CB7" w:rsidP="000C3D7A">
      <w:pPr>
        <w:spacing w:after="0" w:line="240" w:lineRule="auto"/>
      </w:pPr>
      <w:r>
        <w:continuationSeparator/>
      </w:r>
    </w:p>
  </w:footnote>
  <w:footnote w:id="2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0C3D7A" w:rsidRDefault="000C3D7A" w:rsidP="000C3D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Style w:val="FootnoteReference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D7A"/>
    <w:rsid w:val="000C3D7A"/>
    <w:rsid w:val="001A233E"/>
    <w:rsid w:val="00267D5B"/>
    <w:rsid w:val="003E0CB7"/>
    <w:rsid w:val="004D0DB1"/>
    <w:rsid w:val="00573A0B"/>
    <w:rsid w:val="00705655"/>
    <w:rsid w:val="009D0171"/>
    <w:rsid w:val="00B816BF"/>
    <w:rsid w:val="00BB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55"/>
  </w:style>
  <w:style w:type="paragraph" w:styleId="Heading2">
    <w:name w:val="heading 2"/>
    <w:basedOn w:val="Normal"/>
    <w:next w:val="Normal"/>
    <w:link w:val="Heading2Char"/>
    <w:qFormat/>
    <w:rsid w:val="000C3D7A"/>
    <w:pPr>
      <w:keepNext/>
      <w:spacing w:before="120" w:after="60" w:line="240" w:lineRule="auto"/>
      <w:jc w:val="center"/>
      <w:outlineLvl w:val="1"/>
    </w:pPr>
    <w:rPr>
      <w:rFonts w:ascii="Times Armenian" w:eastAsia="Times New Roman" w:hAnsi="Times Armenian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C3D7A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3D7A"/>
    <w:rPr>
      <w:rFonts w:ascii="Times Armenian" w:eastAsia="Times New Roman" w:hAnsi="Times Armenian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C3D7A"/>
    <w:rPr>
      <w:rFonts w:ascii="Times Armenian" w:eastAsia="Times New Roman" w:hAnsi="Times Armeni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0C3D7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3D7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0C3D7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3D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0C3D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2014-02-05T23:27:00Z</cp:lastPrinted>
  <dcterms:created xsi:type="dcterms:W3CDTF">2013-01-23T07:08:00Z</dcterms:created>
  <dcterms:modified xsi:type="dcterms:W3CDTF">2014-02-06T00:21:00Z</dcterms:modified>
</cp:coreProperties>
</file>