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6" w:rsidRPr="00365437" w:rsidRDefault="005C4976" w:rsidP="008C7C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C7C37" w:rsidRDefault="00B02126" w:rsidP="008C7C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 ԱՌԱՆՑ ԳՆՈՒՄՆԵՐԻ ՀԱՅՏԱՐԱՐՈՒԹՅՈՒՆԸ ՆԱԽԱՊԵՍ ՀՐԱՊԱՐԱԿԵԼՈՒ ՄԻՋՈՑՈՎ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4976" w:rsidRPr="008C7C37" w:rsidRDefault="008C7C37" w:rsidP="008C7C3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Հայտարարության սույն տեքստը հրապարակվում է </w:t>
      </w:r>
      <w:r w:rsidRPr="008C7C37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Գնումների մասին</w:t>
      </w:r>
      <w:r w:rsidRPr="008C7C37">
        <w:rPr>
          <w:rFonts w:ascii="GHEA Grapalat" w:hAnsi="GHEA Grapalat"/>
          <w:sz w:val="18"/>
          <w:szCs w:val="18"/>
          <w:lang w:val="af-ZA"/>
        </w:rPr>
        <w:t>&gt;&gt;</w:t>
      </w:r>
      <w:r w:rsidR="005C4976" w:rsidRPr="00365437">
        <w:rPr>
          <w:rFonts w:ascii="GHEA Grapalat" w:hAnsi="GHEA Grapalat"/>
          <w:sz w:val="20"/>
          <w:lang w:val="af-ZA"/>
        </w:rPr>
        <w:tab/>
      </w:r>
      <w:r w:rsidRPr="008C7C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</w:t>
      </w:r>
      <w:proofErr w:type="spellEnd"/>
    </w:p>
    <w:p w:rsidR="005C4976" w:rsidRPr="00C113D5" w:rsidRDefault="005C4976" w:rsidP="008C7C3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113D5">
        <w:rPr>
          <w:rFonts w:ascii="GHEA Grapalat" w:hAnsi="GHEA Grapalat"/>
          <w:sz w:val="24"/>
          <w:szCs w:val="24"/>
          <w:lang w:val="af-ZA"/>
        </w:rPr>
        <w:t xml:space="preserve">  ՀՀ ԳՄ ԱՇՁԲ-14/0</w:t>
      </w:r>
      <w:r w:rsidR="00F5412E">
        <w:rPr>
          <w:rFonts w:ascii="GHEA Grapalat" w:hAnsi="GHEA Grapalat"/>
          <w:sz w:val="24"/>
          <w:szCs w:val="24"/>
          <w:lang w:val="af-ZA"/>
        </w:rPr>
        <w:t>01</w:t>
      </w:r>
    </w:p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B02126">
        <w:rPr>
          <w:rFonts w:ascii="GHEA Grapalat" w:hAnsi="GHEA Grapalat"/>
          <w:sz w:val="20"/>
          <w:lang w:val="af-ZA"/>
        </w:rPr>
        <w:t>` 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ք.Գավառ, Կենտրոնական հրապարակ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0212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="00C113D5">
        <w:rPr>
          <w:rFonts w:ascii="GHEA Grapalat" w:hAnsi="GHEA Grapalat"/>
          <w:sz w:val="20"/>
          <w:lang w:val="af-ZA"/>
        </w:rPr>
        <w:t>ՀՀ ԳՄ ԱՇՁԲ-14/0</w:t>
      </w:r>
      <w:r w:rsidR="00F5412E">
        <w:rPr>
          <w:rFonts w:ascii="GHEA Grapalat" w:hAnsi="GHEA Grapalat"/>
          <w:sz w:val="20"/>
          <w:lang w:val="af-ZA"/>
        </w:rPr>
        <w:t>01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02126" w:rsidRPr="00B02126">
        <w:rPr>
          <w:rFonts w:ascii="GHEA Grapalat" w:hAnsi="GHEA Grapalat"/>
          <w:sz w:val="20"/>
          <w:lang w:val="af-ZA"/>
        </w:rPr>
        <w:t>բանակցային ընթացակարգ առանց գնումների հայտարարությունը նախապես հրապարակելու միջոցով</w:t>
      </w:r>
      <w:r w:rsidR="00B02126" w:rsidRPr="00B0212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02126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5C4976" w:rsidRPr="00BF7713" w:rsidTr="00764FAF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C4976" w:rsidRPr="00BF7713" w:rsidTr="00764FAF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13D5" w:rsidRPr="00F5412E" w:rsidTr="00764FA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C113D5" w:rsidRPr="00BF7713" w:rsidRDefault="00C113D5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F5412E" w:rsidRDefault="00F5412E" w:rsidP="008A29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Նախագծային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իրականացում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F5412E" w:rsidRDefault="00F5412E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4700000.0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F5412E" w:rsidRDefault="00F5412E" w:rsidP="009D0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4700000.0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F5412E" w:rsidRDefault="00F5412E" w:rsidP="00EF52F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5412E">
              <w:rPr>
                <w:rFonts w:ascii="GHEA Grapalat" w:hAnsi="GHEA Grapalat" w:cs="Sylfaen"/>
                <w:sz w:val="14"/>
                <w:szCs w:val="14"/>
                <w:lang w:val="hy-AM"/>
              </w:rPr>
              <w:t>Հայրավանքի միջնակարգ դպրոցի հիմնանորոգման, Արեգունի համայնքի համայնքային կենտրոնի կառուցման, Դրախտիկ համայնքի համայնքային կենտրոնի կառուցման, Գեղհովիտ համայնքի Լեռնակերտ թաղամասի  համայնքային կենտրոնի կառուցման և Մարտունի համայնքի բազմաբնակարան շենքերի տանիքների վերանորոգման նախագծա-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նախահաշվային փաստաթղթերի մշակ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ում</w:t>
            </w:r>
            <w:proofErr w:type="spellEnd"/>
            <w:r w:rsidRPr="00F5412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և փորձաքննության անցկաց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ում</w:t>
            </w:r>
            <w:proofErr w:type="spellEnd"/>
          </w:p>
        </w:tc>
      </w:tr>
      <w:tr w:rsidR="005C4976" w:rsidRPr="00F5412E" w:rsidTr="00764FAF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B02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F5412E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2014թ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ապրիլի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532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B02126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5C4976" w:rsidRPr="00BF7713" w:rsidTr="00764FAF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164CC3" w:rsidP="00164C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,2014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C4976" w:rsidRPr="00BF7713" w:rsidTr="00764FA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5C4976" w:rsidRPr="00604A2D" w:rsidRDefault="005C4976" w:rsidP="00764F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F5412E" w:rsidRDefault="00C113D5" w:rsidP="00F54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F5412E">
              <w:rPr>
                <w:rFonts w:ascii="GHEA Grapalat" w:hAnsi="GHEA Grapalat"/>
                <w:b/>
                <w:sz w:val="14"/>
                <w:szCs w:val="14"/>
              </w:rPr>
              <w:t>Գլոմմա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F5412E">
              <w:rPr>
                <w:rFonts w:ascii="GHEA Grapalat" w:hAnsi="GHEA Grapalat"/>
                <w:b/>
                <w:sz w:val="14"/>
                <w:szCs w:val="14"/>
              </w:rPr>
              <w:t>ԱԿ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F5412E" w:rsidRDefault="00F5412E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4700000.0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F5412E" w:rsidRDefault="00F5412E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4700000.0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F5412E" w:rsidRDefault="00F5412E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4700000.0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F5412E" w:rsidRDefault="00F5412E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4700000.0</w:t>
            </w:r>
          </w:p>
        </w:tc>
      </w:tr>
      <w:tr w:rsidR="005C4976" w:rsidRPr="00BF7713" w:rsidTr="00764FAF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4976" w:rsidRPr="00BF7713" w:rsidTr="00764FA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C4976" w:rsidRPr="00BF7713" w:rsidTr="00764FA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4976" w:rsidRPr="00BF7713" w:rsidTr="00764FA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4976" w:rsidRPr="00BF7713" w:rsidTr="00764FA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5412E" w:rsidRPr="00BF7713" w:rsidTr="00764FA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F5412E" w:rsidRPr="00BF7713" w:rsidRDefault="00F5412E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F5412E" w:rsidRPr="00F5412E" w:rsidRDefault="00F5412E" w:rsidP="00B36B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Գլոմմա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5412E" w:rsidRPr="00F5412E" w:rsidRDefault="00F5412E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 ԱՇՁԲ-14/0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5412E" w:rsidRPr="00BF7713" w:rsidRDefault="00F5412E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F5412E" w:rsidRPr="00BF7713" w:rsidRDefault="00F5412E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01,07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F5412E" w:rsidRPr="00BF7713" w:rsidRDefault="00F5412E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5412E" w:rsidRPr="00F5412E" w:rsidRDefault="00F5412E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4700000.0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F5412E" w:rsidRPr="00F5412E" w:rsidRDefault="00F5412E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4700000.0</w:t>
            </w:r>
          </w:p>
        </w:tc>
      </w:tr>
      <w:tr w:rsidR="005C4976" w:rsidRPr="00BF7713" w:rsidTr="00764FA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5412E" w:rsidRPr="00C113D5" w:rsidTr="00764FA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12E" w:rsidRPr="00BF7713" w:rsidRDefault="00F5412E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12E" w:rsidRPr="00F5412E" w:rsidRDefault="00F5412E" w:rsidP="00B36B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Գլոմմա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ԱԿ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12E" w:rsidRPr="00F5412E" w:rsidRDefault="00F5412E" w:rsidP="00F54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Երևան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Մաշտոցի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51/30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12E" w:rsidRPr="00BF7713" w:rsidRDefault="00F5412E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12E" w:rsidRPr="00F5412E" w:rsidRDefault="00F5412E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163048104182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12E" w:rsidRPr="00F5412E" w:rsidRDefault="00F5412E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01515334</w:t>
            </w:r>
          </w:p>
        </w:tc>
      </w:tr>
      <w:tr w:rsidR="005C4976" w:rsidRPr="00C113D5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4976" w:rsidRPr="00C113D5" w:rsidTr="008A29F9">
        <w:trPr>
          <w:trHeight w:val="133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C113D5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F5412E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4976" w:rsidRPr="00F5412E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F5412E" w:rsidTr="00764FAF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F5412E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F5412E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F5412E" w:rsidTr="008A29F9">
        <w:trPr>
          <w:trHeight w:val="133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F5412E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F5412E" w:rsidTr="008A29F9">
        <w:trPr>
          <w:trHeight w:val="142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BF7713" w:rsidTr="008A29F9">
        <w:trPr>
          <w:trHeight w:val="27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Զոհրաբյան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093-751-157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C4976" w:rsidRPr="008C7C37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zogr-armen@mail.ru</w:t>
            </w:r>
          </w:p>
        </w:tc>
      </w:tr>
    </w:tbl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1249" w:rsidRPr="008A29F9" w:rsidRDefault="005C4976" w:rsidP="008A29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C37">
        <w:rPr>
          <w:rFonts w:ascii="GHEA Grapalat" w:hAnsi="GHEA Grapalat"/>
          <w:b w:val="0"/>
          <w:i w:val="0"/>
          <w:sz w:val="20"/>
          <w:u w:val="none"/>
          <w:lang w:val="af-ZA"/>
        </w:rPr>
        <w:t>ՀՀ Գեղարքունիքի մարզպետարան</w:t>
      </w:r>
    </w:p>
    <w:sectPr w:rsidR="00F41249" w:rsidRPr="008A29F9" w:rsidSect="008A29F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AB" w:rsidRDefault="000F28AB" w:rsidP="005C4976">
      <w:r>
        <w:separator/>
      </w:r>
    </w:p>
  </w:endnote>
  <w:endnote w:type="continuationSeparator" w:id="0">
    <w:p w:rsidR="000F28AB" w:rsidRDefault="000F28AB" w:rsidP="005C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C706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F5412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C706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412E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F5412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AB" w:rsidRDefault="000F28AB" w:rsidP="005C4976">
      <w:r>
        <w:separator/>
      </w:r>
    </w:p>
  </w:footnote>
  <w:footnote w:type="continuationSeparator" w:id="0">
    <w:p w:rsidR="000F28AB" w:rsidRDefault="000F28AB" w:rsidP="005C4976">
      <w:r>
        <w:continuationSeparator/>
      </w:r>
    </w:p>
  </w:footnote>
  <w:footnote w:id="1">
    <w:p w:rsidR="005C4976" w:rsidRPr="00541A77" w:rsidRDefault="005C4976" w:rsidP="005C49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4976" w:rsidRPr="00EB00B9" w:rsidRDefault="005C4976" w:rsidP="005C49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4976" w:rsidRPr="00C868EC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4976" w:rsidRPr="005C497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4976" w:rsidRPr="002D0BF6" w:rsidRDefault="005C4976" w:rsidP="005C497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76"/>
    <w:rsid w:val="000809FB"/>
    <w:rsid w:val="000F28AB"/>
    <w:rsid w:val="000F6BF5"/>
    <w:rsid w:val="00102299"/>
    <w:rsid w:val="00113251"/>
    <w:rsid w:val="00164CC3"/>
    <w:rsid w:val="001A59B0"/>
    <w:rsid w:val="005C4976"/>
    <w:rsid w:val="00664F11"/>
    <w:rsid w:val="006B3EF9"/>
    <w:rsid w:val="00763021"/>
    <w:rsid w:val="007E090C"/>
    <w:rsid w:val="008A29F9"/>
    <w:rsid w:val="008C7C37"/>
    <w:rsid w:val="00AA6A1A"/>
    <w:rsid w:val="00AF777E"/>
    <w:rsid w:val="00B02126"/>
    <w:rsid w:val="00C00FC5"/>
    <w:rsid w:val="00C113D5"/>
    <w:rsid w:val="00C706EC"/>
    <w:rsid w:val="00D20887"/>
    <w:rsid w:val="00F41249"/>
    <w:rsid w:val="00F5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49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49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49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4976"/>
  </w:style>
  <w:style w:type="paragraph" w:styleId="Footer">
    <w:name w:val="footer"/>
    <w:basedOn w:val="Normal"/>
    <w:link w:val="FooterChar"/>
    <w:rsid w:val="005C49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4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497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4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9</cp:revision>
  <dcterms:created xsi:type="dcterms:W3CDTF">2014-04-17T10:33:00Z</dcterms:created>
  <dcterms:modified xsi:type="dcterms:W3CDTF">2014-06-06T06:17:00Z</dcterms:modified>
</cp:coreProperties>
</file>