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C53" w:rsidRDefault="00E24C53" w:rsidP="00E24C53">
      <w:pPr>
        <w:spacing w:line="360" w:lineRule="auto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ОБЪЯВЛЕНИЕ</w:t>
      </w:r>
    </w:p>
    <w:p w:rsidR="00E24C53" w:rsidRDefault="00E24C53" w:rsidP="00E24C53">
      <w:pPr>
        <w:pStyle w:val="Heading3"/>
        <w:rPr>
          <w:rFonts w:ascii="Times New Roman" w:hAnsi="Times New Roman"/>
          <w:b/>
          <w:caps/>
          <w:sz w:val="24"/>
          <w:szCs w:val="24"/>
          <w:lang w:val="ru-RU"/>
        </w:rPr>
      </w:pPr>
      <w:r>
        <w:rPr>
          <w:rFonts w:ascii="Times New Roman" w:hAnsi="Times New Roman"/>
          <w:b/>
          <w:caps/>
          <w:sz w:val="24"/>
          <w:szCs w:val="24"/>
          <w:lang w:val="ru-RU"/>
        </w:rPr>
        <w:t>ОБ ОРГАНИЗАЦИИ ПРЕДКВАЛИФИКАЦИОННОГО ПРОЦЕССА ПЕРЕГОВОРНЫХ ПРОЦЕДУР ПОСРЕДСТВОМ ПРЕДВАРИТЕЛЬНОЙ ПУБЛИКАЦИИ объявления о закупках на основании возникновения чрезвычайной или иной непредусмотренной ситуации</w:t>
      </w:r>
    </w:p>
    <w:p w:rsidR="00E24C53" w:rsidRDefault="00E24C53" w:rsidP="00E24C53">
      <w:pPr>
        <w:pStyle w:val="Heading3"/>
        <w:rPr>
          <w:rFonts w:ascii="Times New Roman" w:hAnsi="Times New Roman"/>
          <w:b/>
          <w:caps/>
          <w:sz w:val="24"/>
          <w:szCs w:val="24"/>
          <w:lang w:val="ru-RU"/>
        </w:rPr>
      </w:pPr>
      <w:r>
        <w:rPr>
          <w:rFonts w:ascii="Times New Roman" w:hAnsi="Times New Roman"/>
          <w:b/>
          <w:caps/>
          <w:sz w:val="24"/>
          <w:szCs w:val="24"/>
          <w:lang w:val="ru-RU"/>
        </w:rPr>
        <w:t>С ШИФРОВКОЙ  &lt;&lt;БРКП МК РА-ППОПР-14/97&gt;&gt;</w:t>
      </w:r>
    </w:p>
    <w:p w:rsidR="00E24C53" w:rsidRDefault="00E24C53" w:rsidP="00E24C53">
      <w:pPr>
        <w:jc w:val="center"/>
        <w:rPr>
          <w:lang w:val="ru-RU"/>
        </w:rPr>
      </w:pPr>
      <w:r>
        <w:rPr>
          <w:lang w:val="ru-RU"/>
        </w:rPr>
        <w:t>Данный текст объявления утвержден решением оценочной комиссии N 2 от 14 ноября 2014 года по переговорной процедуре посредством предварительной публикации объявления о закупках на основании возникновения чрезвычайной или иной непредвиденной ситуации и публикуется согласно</w:t>
      </w:r>
    </w:p>
    <w:p w:rsidR="00E24C53" w:rsidRDefault="00E24C53" w:rsidP="00E24C53">
      <w:pPr>
        <w:jc w:val="center"/>
        <w:rPr>
          <w:lang w:val="ru-RU"/>
        </w:rPr>
      </w:pPr>
      <w:r>
        <w:rPr>
          <w:lang w:val="ru-RU"/>
        </w:rPr>
        <w:t>21-ой статье закона РА “О закупе”.</w:t>
      </w:r>
    </w:p>
    <w:p w:rsidR="00E24C53" w:rsidRDefault="00E24C53" w:rsidP="00E24C53">
      <w:pPr>
        <w:jc w:val="both"/>
        <w:rPr>
          <w:lang w:val="ru-RU"/>
        </w:rPr>
      </w:pPr>
    </w:p>
    <w:p w:rsidR="00E24C53" w:rsidRDefault="00E24C53" w:rsidP="00E24C53">
      <w:pPr>
        <w:ind w:firstLine="360"/>
        <w:jc w:val="both"/>
        <w:rPr>
          <w:lang w:val="ru-RU"/>
        </w:rPr>
      </w:pPr>
      <w:r>
        <w:rPr>
          <w:lang w:val="af-ZA"/>
        </w:rPr>
        <w:t>1/</w:t>
      </w:r>
      <w:r>
        <w:rPr>
          <w:lang w:val="ru-RU"/>
        </w:rPr>
        <w:t xml:space="preserve"> Заказчик – Государственное учреждение “Бюро по реализации культурных программ” Министерства культуры Республики Армения, которое находится  по адресу: г.Ереван, плошадь Республики, дом правительства </w:t>
      </w:r>
      <w:r>
        <w:t>N</w:t>
      </w:r>
      <w:r>
        <w:rPr>
          <w:lang w:val="ru-RU"/>
        </w:rPr>
        <w:t>3, 7-ой этаж, обьявляет об организации предквалификационного процесса переговорных процедур.</w:t>
      </w:r>
    </w:p>
    <w:p w:rsidR="00E24C53" w:rsidRDefault="00E24C53" w:rsidP="00E24C53">
      <w:pPr>
        <w:pStyle w:val="BodyTextIndent"/>
        <w:spacing w:line="240" w:lineRule="auto"/>
        <w:ind w:firstLine="360"/>
        <w:rPr>
          <w:rFonts w:ascii="Times New Roman" w:hAnsi="Times New Roman"/>
          <w:b/>
          <w:i w:val="0"/>
          <w:sz w:val="24"/>
          <w:szCs w:val="24"/>
          <w:lang w:val="es-ES"/>
        </w:rPr>
      </w:pPr>
      <w:r>
        <w:rPr>
          <w:rFonts w:ascii="Times New Roman" w:hAnsi="Times New Roman"/>
          <w:b/>
          <w:i w:val="0"/>
          <w:sz w:val="24"/>
          <w:szCs w:val="24"/>
          <w:lang w:val="af-ZA"/>
        </w:rPr>
        <w:t>Предметом закупа являтся преобретение для нужд Министерства культуры РА ремонтных и закрепительных работ балкона дома-музея Перча Прошяна, который находится в городе Аштарак, Арагацотнского марза РА, а также работ по укреплению несущей скалы южной опоры средневекого моста, находящегося в сельской общине Гарни, Котайкского марза РА.</w:t>
      </w:r>
    </w:p>
    <w:p w:rsidR="00E24C53" w:rsidRDefault="00E24C53" w:rsidP="00E24C53">
      <w:pPr>
        <w:pStyle w:val="BodyTextIndent"/>
        <w:spacing w:line="240" w:lineRule="auto"/>
        <w:ind w:firstLine="360"/>
        <w:rPr>
          <w:rFonts w:ascii="Times New Roman" w:hAnsi="Times New Roman"/>
          <w:b/>
          <w:i w:val="0"/>
          <w:sz w:val="24"/>
          <w:szCs w:val="24"/>
          <w:lang w:val="af-ZA"/>
        </w:rPr>
      </w:pPr>
      <w:r>
        <w:rPr>
          <w:rFonts w:ascii="Times New Roman" w:hAnsi="Times New Roman"/>
          <w:i w:val="0"/>
          <w:sz w:val="24"/>
          <w:szCs w:val="24"/>
          <w:lang w:val="af-ZA"/>
        </w:rPr>
        <w:t>П</w:t>
      </w:r>
      <w:r>
        <w:rPr>
          <w:rFonts w:ascii="Times New Roman" w:hAnsi="Times New Roman"/>
          <w:i w:val="0"/>
          <w:sz w:val="24"/>
          <w:szCs w:val="24"/>
          <w:lang w:val="ru-RU"/>
        </w:rPr>
        <w:t>о</w:t>
      </w:r>
      <w:r>
        <w:rPr>
          <w:rFonts w:ascii="Times New Roman" w:hAnsi="Times New Roman"/>
          <w:i w:val="0"/>
          <w:sz w:val="24"/>
          <w:szCs w:val="24"/>
          <w:lang w:val="af-ZA"/>
        </w:rPr>
        <w:t xml:space="preserve">бедителю данного процесса будет предложено о заключении договора по преобретению </w:t>
      </w:r>
      <w:r>
        <w:rPr>
          <w:rFonts w:ascii="Times New Roman" w:hAnsi="Times New Roman"/>
          <w:b/>
          <w:i w:val="0"/>
          <w:sz w:val="24"/>
          <w:szCs w:val="24"/>
          <w:lang w:val="af-ZA"/>
        </w:rPr>
        <w:t>ремонтных и закрепительных работ балкона дома-музея Перча Прошяна, который находится в городе Аштарак, Арагацотнского марза РА, а также работ по укреплению несущей скалы южной опоры средневекого моста, находящегося в сельской общине Гарни, Котайкского марза РА</w:t>
      </w:r>
      <w:r>
        <w:rPr>
          <w:rFonts w:ascii="Times New Roman" w:hAnsi="Times New Roman"/>
          <w:i w:val="0"/>
          <w:sz w:val="24"/>
          <w:szCs w:val="24"/>
          <w:lang w:val="af-ZA"/>
        </w:rPr>
        <w:t xml:space="preserve"> </w:t>
      </w:r>
      <w:r>
        <w:rPr>
          <w:rFonts w:ascii="Times New Roman" w:hAnsi="Times New Roman"/>
          <w:b/>
          <w:i w:val="0"/>
          <w:sz w:val="24"/>
          <w:szCs w:val="24"/>
          <w:lang w:val="af-ZA"/>
        </w:rPr>
        <w:t>(далее: договор).</w:t>
      </w:r>
    </w:p>
    <w:p w:rsidR="00E24C53" w:rsidRDefault="00E24C53" w:rsidP="00E24C53">
      <w:pPr>
        <w:ind w:firstLine="360"/>
        <w:jc w:val="both"/>
        <w:rPr>
          <w:lang w:val="ru-RU"/>
        </w:rPr>
      </w:pPr>
      <w:r>
        <w:rPr>
          <w:lang w:val="af-ZA"/>
        </w:rPr>
        <w:t xml:space="preserve">2/ </w:t>
      </w:r>
      <w:r>
        <w:rPr>
          <w:lang w:val="ru-RU"/>
        </w:rPr>
        <w:t>В данном процессе могут принимать участие лица, не зависимо от того являются ли они иностранным физическим лицом, организацией или лицом без гражданства.</w:t>
      </w:r>
    </w:p>
    <w:p w:rsidR="00E24C53" w:rsidRDefault="00E24C53" w:rsidP="00E24C53">
      <w:pPr>
        <w:ind w:firstLine="360"/>
        <w:jc w:val="both"/>
        <w:rPr>
          <w:lang w:val="ru-RU"/>
        </w:rPr>
      </w:pPr>
      <w:r>
        <w:rPr>
          <w:lang w:val="af-ZA"/>
        </w:rPr>
        <w:t>3/ В данном предквалификационном процессе не имеют права принимать участие лица:</w:t>
      </w:r>
    </w:p>
    <w:p w:rsidR="00E24C53" w:rsidRDefault="00E24C53" w:rsidP="00E24C53">
      <w:pPr>
        <w:ind w:firstLine="720"/>
        <w:jc w:val="both"/>
        <w:rPr>
          <w:lang w:val="ru-RU"/>
        </w:rPr>
      </w:pPr>
      <w:r>
        <w:rPr>
          <w:lang w:val="ru-RU"/>
        </w:rPr>
        <w:t>а)  которые были признаны судом банкротом</w:t>
      </w:r>
    </w:p>
    <w:p w:rsidR="00E24C53" w:rsidRDefault="00E24C53" w:rsidP="00E24C53">
      <w:pPr>
        <w:jc w:val="both"/>
        <w:rPr>
          <w:lang w:val="ru-RU"/>
        </w:rPr>
      </w:pPr>
      <w:r>
        <w:rPr>
          <w:lang w:val="ru-RU"/>
        </w:rPr>
        <w:tab/>
        <w:t>б) которые имеют просроченные долги по линии платежа налогов РА и обязательного социального обеспечения.</w:t>
      </w:r>
    </w:p>
    <w:p w:rsidR="00E24C53" w:rsidRDefault="00E24C53" w:rsidP="00E24C53">
      <w:pPr>
        <w:ind w:firstLine="708"/>
        <w:jc w:val="both"/>
        <w:rPr>
          <w:lang w:val="ru-RU"/>
        </w:rPr>
      </w:pPr>
      <w:r>
        <w:rPr>
          <w:lang w:val="ru-RU"/>
        </w:rPr>
        <w:t>в) представитель исполнительного органа которого, в течении предыдущих 3-х лет до подачи заявки был осужден за преступление против экономической деятельности или государственной службы, за исключением тех случаев когда судимость была снята либо погашена.</w:t>
      </w:r>
    </w:p>
    <w:p w:rsidR="00E24C53" w:rsidRDefault="00E24C53" w:rsidP="00E24C53">
      <w:pPr>
        <w:ind w:firstLine="708"/>
        <w:jc w:val="both"/>
        <w:rPr>
          <w:lang w:val="ru-RU"/>
        </w:rPr>
      </w:pPr>
      <w:r>
        <w:rPr>
          <w:lang w:val="ru-RU"/>
        </w:rPr>
        <w:t>г) которые включены в перечень участников не имеющих право участвовать в процессе закупа.</w:t>
      </w:r>
    </w:p>
    <w:p w:rsidR="00E24C53" w:rsidRDefault="00E24C53" w:rsidP="00E24C53">
      <w:pPr>
        <w:ind w:firstLine="360"/>
        <w:jc w:val="both"/>
        <w:rPr>
          <w:lang w:val="ru-RU"/>
        </w:rPr>
      </w:pPr>
      <w:r>
        <w:rPr>
          <w:lang w:val="ru-RU"/>
        </w:rPr>
        <w:t xml:space="preserve">4) Для подачи заявок предквалификационного процесса определен срок </w:t>
      </w:r>
      <w:r>
        <w:rPr>
          <w:b/>
          <w:lang w:val="ru-RU"/>
        </w:rPr>
        <w:t>в</w:t>
      </w:r>
      <w:r>
        <w:rPr>
          <w:b/>
          <w:color w:val="000000"/>
          <w:sz w:val="23"/>
          <w:szCs w:val="23"/>
          <w:shd w:val="clear" w:color="auto" w:fill="FFFFFF"/>
          <w:lang w:val="ru-RU"/>
        </w:rPr>
        <w:t xml:space="preserve"> 10 календарных дней</w:t>
      </w:r>
      <w:r>
        <w:rPr>
          <w:lang w:val="ru-RU"/>
        </w:rPr>
        <w:t>, который начинается с момента публикации объявления.</w:t>
      </w:r>
    </w:p>
    <w:p w:rsidR="00E24C53" w:rsidRDefault="00E24C53" w:rsidP="00E24C53">
      <w:pPr>
        <w:ind w:firstLine="360"/>
        <w:jc w:val="both"/>
        <w:rPr>
          <w:lang w:val="ru-RU"/>
        </w:rPr>
      </w:pPr>
      <w:r>
        <w:rPr>
          <w:lang w:val="ru-RU"/>
        </w:rPr>
        <w:lastRenderedPageBreak/>
        <w:t xml:space="preserve">5) Для подтверждения участия и квалификации необходимо представить заявление. Других документов, кроме обозначенного заявления, не требуется. Форма и требования заявления представлены в приложении № 2. </w:t>
      </w:r>
    </w:p>
    <w:p w:rsidR="00E24C53" w:rsidRDefault="00E24C53" w:rsidP="00E24C53">
      <w:pPr>
        <w:ind w:firstLine="360"/>
        <w:jc w:val="both"/>
        <w:rPr>
          <w:lang w:val="ru-RU"/>
        </w:rPr>
      </w:pPr>
      <w:r>
        <w:rPr>
          <w:lang w:val="ru-RU"/>
        </w:rPr>
        <w:t xml:space="preserve">Для участия в предквалификационном процессе участник должен обладать критериями квалификации и соответствием профессиональной деятельности с деятельностью, предусмотренной соглашением. Для оценки требований профессиональной деятельности участник должен предоставить заявление, форма и требования которого представлены в приложении </w:t>
      </w:r>
      <w:r>
        <w:rPr>
          <w:lang w:val="af-ZA"/>
        </w:rPr>
        <w:t>N 3</w:t>
      </w:r>
      <w:r>
        <w:rPr>
          <w:lang w:val="ru-RU"/>
        </w:rPr>
        <w:t xml:space="preserve">. </w:t>
      </w:r>
    </w:p>
    <w:p w:rsidR="00E24C53" w:rsidRDefault="00E24C53" w:rsidP="00E24C53">
      <w:pPr>
        <w:ind w:firstLine="360"/>
        <w:jc w:val="both"/>
        <w:rPr>
          <w:lang w:val="ru-RU"/>
        </w:rPr>
      </w:pPr>
      <w:r>
        <w:rPr>
          <w:lang w:val="af-ZA"/>
        </w:rPr>
        <w:t xml:space="preserve">6/ </w:t>
      </w:r>
      <w:r>
        <w:rPr>
          <w:lang w:val="ru-RU"/>
        </w:rPr>
        <w:t>Участники также могут принять участие в предквалификационном процессе по совместительству (консорциум). В подобном случае:</w:t>
      </w:r>
    </w:p>
    <w:p w:rsidR="00E24C53" w:rsidRDefault="00E24C53" w:rsidP="00E24C53">
      <w:pPr>
        <w:ind w:firstLine="720"/>
        <w:jc w:val="both"/>
        <w:rPr>
          <w:lang w:val="ru-RU"/>
        </w:rPr>
      </w:pPr>
      <w:r>
        <w:rPr>
          <w:lang w:val="ru-RU"/>
        </w:rPr>
        <w:t>а)  предквалификационная заявка включает также договор о совместной деятельности,</w:t>
      </w:r>
    </w:p>
    <w:p w:rsidR="00E24C53" w:rsidRDefault="00E24C53" w:rsidP="00E24C53">
      <w:pPr>
        <w:ind w:firstLine="720"/>
        <w:jc w:val="both"/>
        <w:rPr>
          <w:lang w:val="ru-RU"/>
        </w:rPr>
      </w:pPr>
      <w:r>
        <w:rPr>
          <w:lang w:val="ru-RU"/>
        </w:rPr>
        <w:t xml:space="preserve">б) в процессе оценивания предквалификационной заявки учитывается, что каждый член совместного договора соответствует квалификационным  требованиям объявления и несет совместную ответственность. </w:t>
      </w:r>
    </w:p>
    <w:p w:rsidR="00E24C53" w:rsidRDefault="00E24C53" w:rsidP="00E24C53">
      <w:pPr>
        <w:ind w:firstLine="360"/>
        <w:jc w:val="both"/>
        <w:rPr>
          <w:lang w:val="ru-RU"/>
        </w:rPr>
      </w:pPr>
      <w:r>
        <w:rPr>
          <w:lang w:val="ru-RU"/>
        </w:rPr>
        <w:t xml:space="preserve">7) Заказчик обязан ответить на предквалификационную заявку в течение трех календарных дней, если она получена не позднее истечения пятидневного срока для подачи заявок. </w:t>
      </w:r>
    </w:p>
    <w:p w:rsidR="00E24C53" w:rsidRDefault="00E24C53" w:rsidP="00E24C53">
      <w:pPr>
        <w:ind w:firstLine="360"/>
        <w:jc w:val="both"/>
        <w:rPr>
          <w:lang w:val="ru-RU"/>
        </w:rPr>
      </w:pPr>
      <w:r>
        <w:rPr>
          <w:lang w:val="ru-RU"/>
        </w:rPr>
        <w:t>Информация о заявке и выяснении будет одновременно опубликована в справочнике (электронный бюллетень закупов), но не будут отмечены данные участника, потребовавшего пояснений. При предоставлении информации какому-либо участнику заказчик обязан обеспечить доступ к информации всем возможным претендентам.</w:t>
      </w:r>
    </w:p>
    <w:p w:rsidR="00E24C53" w:rsidRDefault="00E24C53" w:rsidP="00E24C53">
      <w:pPr>
        <w:ind w:firstLine="360"/>
        <w:jc w:val="both"/>
        <w:rPr>
          <w:lang w:val="ru-RU"/>
        </w:rPr>
      </w:pPr>
      <w:r>
        <w:rPr>
          <w:lang w:val="ru-RU"/>
        </w:rPr>
        <w:t xml:space="preserve">8) Право на участие в процессе закупа получают участники, включенные в предквалификационный список. </w:t>
      </w:r>
    </w:p>
    <w:p w:rsidR="00E24C53" w:rsidRDefault="00E24C53" w:rsidP="00E24C53">
      <w:pPr>
        <w:ind w:firstLine="360"/>
        <w:jc w:val="both"/>
        <w:rPr>
          <w:lang w:val="ru-RU"/>
        </w:rPr>
      </w:pPr>
      <w:r>
        <w:rPr>
          <w:lang w:val="ru-RU"/>
        </w:rPr>
        <w:t xml:space="preserve">9) Предквалификационная заявка включает письменное заявление участника, форма и требования которого представлены в приложении </w:t>
      </w:r>
      <w:r>
        <w:rPr>
          <w:lang w:val="af-ZA"/>
        </w:rPr>
        <w:t>N 1</w:t>
      </w:r>
      <w:r>
        <w:rPr>
          <w:lang w:val="ru-RU"/>
        </w:rPr>
        <w:t xml:space="preserve">, письменное заявление участника о соответствии квалификационным требованиям с предоставлением информации (приложения </w:t>
      </w:r>
      <w:r>
        <w:rPr>
          <w:lang w:val="af-ZA"/>
        </w:rPr>
        <w:t>N2 и N3</w:t>
      </w:r>
      <w:r>
        <w:rPr>
          <w:lang w:val="ru-RU"/>
        </w:rPr>
        <w:t xml:space="preserve">), соглашение о совместной деятельности, если участники подают заявление по консорциуму, адрес электронной почты участника. </w:t>
      </w:r>
    </w:p>
    <w:p w:rsidR="00E24C53" w:rsidRDefault="00E24C53" w:rsidP="00E24C53">
      <w:pPr>
        <w:ind w:firstLine="360"/>
        <w:jc w:val="both"/>
        <w:rPr>
          <w:color w:val="000000"/>
          <w:lang w:val="ru-RU"/>
        </w:rPr>
      </w:pPr>
      <w:r>
        <w:rPr>
          <w:lang w:val="ru-RU"/>
        </w:rPr>
        <w:t xml:space="preserve">10) Предквалификационные заявки необходимо предоставить в Государственное учреждение “Бюро по реализации культурных программ” Министерства культуры Республики Армения, по адресу: г. Ереван, плошадь Республики, дом правительства </w:t>
      </w:r>
      <w:r>
        <w:t>N</w:t>
      </w:r>
      <w:r>
        <w:rPr>
          <w:lang w:val="ru-RU"/>
        </w:rPr>
        <w:t xml:space="preserve">3, 7-ой этаж, </w:t>
      </w:r>
      <w:r>
        <w:rPr>
          <w:color w:val="000000"/>
          <w:sz w:val="23"/>
          <w:szCs w:val="23"/>
          <w:lang w:val="ru-RU"/>
        </w:rPr>
        <w:t xml:space="preserve">в официальной форме до </w:t>
      </w:r>
      <w:r>
        <w:rPr>
          <w:b/>
          <w:color w:val="000000"/>
          <w:lang w:val="ru-RU"/>
        </w:rPr>
        <w:t>15:00 10-ого календарного дня</w:t>
      </w:r>
      <w:r>
        <w:rPr>
          <w:color w:val="000000"/>
          <w:lang w:val="ru-RU"/>
        </w:rPr>
        <w:t xml:space="preserve"> со дня публикации данного об</w:t>
      </w:r>
      <w:r>
        <w:rPr>
          <w:color w:val="000000"/>
          <w:shd w:val="clear" w:color="auto" w:fill="FFFFFF"/>
          <w:lang w:val="ru-RU"/>
        </w:rPr>
        <w:t>ъ</w:t>
      </w:r>
      <w:r>
        <w:rPr>
          <w:color w:val="000000"/>
          <w:lang w:val="ru-RU"/>
        </w:rPr>
        <w:t>явления, и должны быть составлены на армянском языке.</w:t>
      </w:r>
    </w:p>
    <w:p w:rsidR="00E24C53" w:rsidRDefault="00E24C53" w:rsidP="00E24C53">
      <w:pPr>
        <w:ind w:firstLine="360"/>
        <w:jc w:val="both"/>
        <w:rPr>
          <w:lang w:val="ru-RU"/>
        </w:rPr>
      </w:pPr>
      <w:r>
        <w:rPr>
          <w:lang w:val="ru-RU"/>
        </w:rPr>
        <w:t>Предквалификационные заявки можно предоставить в электронном виде, с письменным электронным обращением к секретарю квалификационной комиссии.</w:t>
      </w:r>
    </w:p>
    <w:p w:rsidR="00E24C53" w:rsidRDefault="00E24C53" w:rsidP="00E24C53">
      <w:pPr>
        <w:pStyle w:val="BodyTextIndent"/>
        <w:spacing w:line="240" w:lineRule="auto"/>
        <w:ind w:firstLine="360"/>
        <w:rPr>
          <w:rFonts w:ascii="Times New Roman" w:hAnsi="Times New Roman"/>
          <w:i w:val="0"/>
          <w:sz w:val="24"/>
          <w:szCs w:val="24"/>
          <w:lang w:val="ru-RU"/>
        </w:rPr>
      </w:pPr>
      <w:r>
        <w:rPr>
          <w:rFonts w:ascii="Times New Roman" w:hAnsi="Times New Roman"/>
          <w:i w:val="0"/>
          <w:sz w:val="24"/>
          <w:szCs w:val="24"/>
          <w:lang w:val="ru-RU"/>
        </w:rPr>
        <w:t xml:space="preserve">Вскрытие заявок состоится в </w:t>
      </w:r>
      <w:r>
        <w:rPr>
          <w:rFonts w:ascii="Times New Roman" w:hAnsi="Times New Roman"/>
          <w:b/>
          <w:i w:val="0"/>
          <w:sz w:val="24"/>
          <w:szCs w:val="24"/>
          <w:lang w:val="ru-RU"/>
        </w:rPr>
        <w:t>15:00 10-ого календарного дня</w:t>
      </w:r>
      <w:r>
        <w:rPr>
          <w:rFonts w:ascii="Times New Roman" w:hAnsi="Times New Roman"/>
          <w:i w:val="0"/>
          <w:sz w:val="24"/>
          <w:szCs w:val="24"/>
          <w:lang w:val="ru-RU"/>
        </w:rPr>
        <w:t>, исчисляемого со дня опубликования данного объявления, в Государственном учреждении “Бюро по реализации культурных программ” Министерства культуры Республики Армения, по адресу: г. Ереван, плошадь Республики, дом правительства N3, 7-ой этаж.</w:t>
      </w:r>
    </w:p>
    <w:p w:rsidR="00E24C53" w:rsidRDefault="00E24C53" w:rsidP="00E24C53">
      <w:pPr>
        <w:pStyle w:val="BodyTextIndent"/>
        <w:spacing w:line="240" w:lineRule="auto"/>
        <w:ind w:firstLine="360"/>
        <w:rPr>
          <w:rFonts w:ascii="Times New Roman" w:hAnsi="Times New Roman"/>
          <w:i w:val="0"/>
          <w:iCs/>
          <w:sz w:val="24"/>
          <w:szCs w:val="24"/>
          <w:lang w:val="ru-RU"/>
        </w:rPr>
      </w:pPr>
      <w:r>
        <w:rPr>
          <w:rFonts w:ascii="Times New Roman" w:hAnsi="Times New Roman"/>
          <w:i w:val="0"/>
          <w:sz w:val="24"/>
          <w:szCs w:val="24"/>
          <w:lang w:val="ru-RU"/>
        </w:rPr>
        <w:t xml:space="preserve">Жалобы, касательно данного предквалификационного процесса, необходимо предоставить в Центр поддержки закупок, согласно 6-ой статье Закона РА “О закупках”. </w:t>
      </w:r>
    </w:p>
    <w:p w:rsidR="00E24C53" w:rsidRDefault="00E24C53" w:rsidP="00E24C53">
      <w:pPr>
        <w:pStyle w:val="BodyTextIndent"/>
        <w:spacing w:line="240" w:lineRule="auto"/>
        <w:ind w:firstLine="360"/>
        <w:rPr>
          <w:rFonts w:ascii="Times New Roman" w:hAnsi="Times New Roman"/>
          <w:i w:val="0"/>
          <w:iCs/>
          <w:sz w:val="24"/>
          <w:szCs w:val="24"/>
          <w:lang w:val="ru-RU"/>
        </w:rPr>
      </w:pPr>
      <w:r>
        <w:rPr>
          <w:rFonts w:ascii="Times New Roman" w:hAnsi="Times New Roman"/>
          <w:i w:val="0"/>
          <w:iCs/>
          <w:sz w:val="24"/>
          <w:szCs w:val="24"/>
          <w:lang w:val="ru-RU"/>
        </w:rPr>
        <w:t xml:space="preserve">Предоставление документов, их регистрация в отдельном реестре проводит секретарь комиссии Н. Карапетян. </w:t>
      </w:r>
    </w:p>
    <w:p w:rsidR="00E24C53" w:rsidRDefault="00E24C53" w:rsidP="00E24C53">
      <w:pPr>
        <w:pStyle w:val="BodyTextIndent"/>
        <w:spacing w:line="240" w:lineRule="auto"/>
        <w:ind w:firstLine="360"/>
        <w:rPr>
          <w:rFonts w:ascii="Times New Roman" w:hAnsi="Times New Roman"/>
          <w:i w:val="0"/>
          <w:iCs/>
          <w:sz w:val="24"/>
          <w:szCs w:val="24"/>
          <w:lang w:val="ru-RU"/>
        </w:rPr>
      </w:pPr>
      <w:r>
        <w:rPr>
          <w:rFonts w:ascii="Times New Roman" w:hAnsi="Times New Roman"/>
          <w:i w:val="0"/>
          <w:iCs/>
          <w:sz w:val="24"/>
          <w:szCs w:val="24"/>
          <w:lang w:val="ru-RU"/>
        </w:rPr>
        <w:t>Для дополнительных сведений, связанных с данным объявлением можете обращаться к координатору по закупам Н. Карапетян.</w:t>
      </w:r>
    </w:p>
    <w:p w:rsidR="00E24C53" w:rsidRDefault="00E24C53" w:rsidP="00E24C53">
      <w:pPr>
        <w:pStyle w:val="BodyTextIndent"/>
        <w:spacing w:line="240" w:lineRule="auto"/>
        <w:ind w:firstLine="360"/>
        <w:rPr>
          <w:rFonts w:ascii="Times New Roman" w:hAnsi="Times New Roman"/>
          <w:i w:val="0"/>
          <w:sz w:val="24"/>
          <w:szCs w:val="24"/>
          <w:lang w:val="af-ZA"/>
        </w:rPr>
      </w:pPr>
      <w:r>
        <w:rPr>
          <w:rFonts w:ascii="Times New Roman" w:hAnsi="Times New Roman"/>
          <w:i w:val="0"/>
          <w:iCs/>
          <w:sz w:val="24"/>
          <w:szCs w:val="24"/>
          <w:lang w:val="ru-RU"/>
        </w:rPr>
        <w:lastRenderedPageBreak/>
        <w:t xml:space="preserve">Телефон: </w:t>
      </w:r>
      <w:r>
        <w:rPr>
          <w:rFonts w:ascii="Times New Roman" w:hAnsi="Times New Roman"/>
          <w:b/>
          <w:i w:val="0"/>
          <w:sz w:val="24"/>
          <w:szCs w:val="24"/>
          <w:lang w:val="af-ZA"/>
        </w:rPr>
        <w:t>58-51-78</w:t>
      </w:r>
      <w:r>
        <w:rPr>
          <w:rFonts w:ascii="Times New Roman" w:hAnsi="Times New Roman"/>
          <w:i w:val="0"/>
          <w:sz w:val="24"/>
          <w:szCs w:val="24"/>
          <w:lang w:val="af-ZA"/>
        </w:rPr>
        <w:t>։</w:t>
      </w:r>
    </w:p>
    <w:p w:rsidR="00E24C53" w:rsidRDefault="00E24C53" w:rsidP="00E24C53">
      <w:pPr>
        <w:pStyle w:val="BodyTextIndent"/>
        <w:tabs>
          <w:tab w:val="left" w:pos="4110"/>
        </w:tabs>
        <w:spacing w:line="240" w:lineRule="auto"/>
        <w:ind w:firstLine="360"/>
        <w:rPr>
          <w:rFonts w:ascii="Times New Roman" w:hAnsi="Times New Roman"/>
          <w:i w:val="0"/>
          <w:sz w:val="24"/>
          <w:szCs w:val="24"/>
          <w:lang w:val="af-ZA"/>
        </w:rPr>
      </w:pPr>
      <w:r>
        <w:rPr>
          <w:rFonts w:ascii="Times New Roman" w:hAnsi="Times New Roman"/>
          <w:i w:val="0"/>
          <w:sz w:val="24"/>
          <w:szCs w:val="24"/>
          <w:lang w:val="af-ZA"/>
        </w:rPr>
        <w:t xml:space="preserve">Эл.почта: </w:t>
      </w:r>
      <w:hyperlink r:id="rId4" w:history="1">
        <w:r>
          <w:rPr>
            <w:rStyle w:val="Hyperlink"/>
            <w:rFonts w:ascii="Times New Roman" w:hAnsi="Times New Roman"/>
            <w:b/>
            <w:i w:val="0"/>
            <w:sz w:val="24"/>
            <w:lang w:val="af-ZA"/>
          </w:rPr>
          <w:t>cultproject@mail.ru</w:t>
        </w:r>
      </w:hyperlink>
      <w:r>
        <w:rPr>
          <w:rFonts w:ascii="Times New Roman" w:hAnsi="Times New Roman"/>
          <w:i w:val="0"/>
          <w:sz w:val="24"/>
          <w:szCs w:val="24"/>
          <w:lang w:val="af-ZA"/>
        </w:rPr>
        <w:t>։</w:t>
      </w:r>
    </w:p>
    <w:p w:rsidR="00E24C53" w:rsidRDefault="00E24C53" w:rsidP="00E24C53">
      <w:pPr>
        <w:pStyle w:val="BodyTextIndent"/>
        <w:tabs>
          <w:tab w:val="left" w:pos="4110"/>
        </w:tabs>
        <w:spacing w:line="240" w:lineRule="auto"/>
        <w:ind w:firstLine="360"/>
        <w:rPr>
          <w:rFonts w:ascii="Times New Roman" w:hAnsi="Times New Roman"/>
          <w:i w:val="0"/>
          <w:sz w:val="24"/>
          <w:szCs w:val="24"/>
          <w:lang w:val="af-ZA"/>
        </w:rPr>
      </w:pPr>
    </w:p>
    <w:p w:rsidR="00E24C53" w:rsidRDefault="00E24C53" w:rsidP="00E24C53">
      <w:pPr>
        <w:pStyle w:val="BodyTextIndent"/>
        <w:tabs>
          <w:tab w:val="left" w:pos="4110"/>
        </w:tabs>
        <w:spacing w:line="240" w:lineRule="auto"/>
        <w:ind w:firstLine="0"/>
        <w:rPr>
          <w:rFonts w:ascii="Times New Roman" w:hAnsi="Times New Roman"/>
          <w:b/>
          <w:i w:val="0"/>
          <w:sz w:val="24"/>
          <w:szCs w:val="24"/>
          <w:lang w:val="ru-RU"/>
        </w:rPr>
      </w:pPr>
      <w:r>
        <w:rPr>
          <w:rFonts w:ascii="Times New Roman" w:hAnsi="Times New Roman"/>
          <w:b/>
          <w:i w:val="0"/>
          <w:sz w:val="24"/>
          <w:szCs w:val="24"/>
          <w:lang w:val="af-ZA"/>
        </w:rPr>
        <w:t xml:space="preserve">Заказчик: </w:t>
      </w:r>
      <w:r>
        <w:rPr>
          <w:rFonts w:ascii="Times New Roman" w:hAnsi="Times New Roman"/>
          <w:b/>
          <w:i w:val="0"/>
          <w:sz w:val="24"/>
          <w:szCs w:val="24"/>
          <w:lang w:val="ru-RU"/>
        </w:rPr>
        <w:t>Государственное учреждениие “Бюро по реализации культурных программ” Министерства культуры Республики Армения</w:t>
      </w:r>
    </w:p>
    <w:p w:rsidR="00675383" w:rsidRPr="00E24C53" w:rsidRDefault="00675383">
      <w:pPr>
        <w:rPr>
          <w:lang w:val="ru-RU"/>
        </w:rPr>
      </w:pPr>
    </w:p>
    <w:sectPr w:rsidR="00675383" w:rsidRPr="00E24C53" w:rsidSect="006753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E24C53"/>
    <w:rsid w:val="002B2EB4"/>
    <w:rsid w:val="00675383"/>
    <w:rsid w:val="006A0BB6"/>
    <w:rsid w:val="00A300E0"/>
    <w:rsid w:val="00B00B7D"/>
    <w:rsid w:val="00E24C53"/>
    <w:rsid w:val="00F97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C53"/>
    <w:pPr>
      <w:jc w:val="left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A0BB6"/>
    <w:pPr>
      <w:keepNext/>
      <w:jc w:val="right"/>
      <w:outlineLvl w:val="0"/>
    </w:pPr>
    <w:rPr>
      <w:rFonts w:ascii="Sylfaen" w:hAnsi="Sylfaen"/>
      <w:sz w:val="28"/>
      <w:u w:val="single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6A0BB6"/>
    <w:pPr>
      <w:keepNext/>
      <w:jc w:val="center"/>
      <w:outlineLvl w:val="1"/>
    </w:pPr>
    <w:rPr>
      <w:rFonts w:ascii="Sylfaen" w:hAnsi="Sylfaen"/>
      <w:b/>
      <w:bCs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24C53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A0BB6"/>
    <w:rPr>
      <w:rFonts w:ascii="Sylfaen" w:hAnsi="Sylfaen"/>
      <w:sz w:val="28"/>
      <w:szCs w:val="24"/>
      <w:u w:val="single"/>
      <w:lang w:eastAsia="ru-RU"/>
    </w:rPr>
  </w:style>
  <w:style w:type="character" w:customStyle="1" w:styleId="Heading2Char">
    <w:name w:val="Heading 2 Char"/>
    <w:basedOn w:val="DefaultParagraphFont"/>
    <w:link w:val="Heading2"/>
    <w:rsid w:val="006A0BB6"/>
    <w:rPr>
      <w:rFonts w:ascii="Sylfaen" w:hAnsi="Sylfaen"/>
      <w:b/>
      <w:bCs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6A0BB6"/>
    <w:rPr>
      <w:b/>
      <w:bCs/>
    </w:rPr>
  </w:style>
  <w:style w:type="paragraph" w:styleId="NoSpacing">
    <w:name w:val="No Spacing"/>
    <w:qFormat/>
    <w:rsid w:val="006A0BB6"/>
    <w:rPr>
      <w:rFonts w:ascii="GHEA Grapalat" w:eastAsia="Calibri" w:hAnsi="GHEA Grapalat"/>
      <w:sz w:val="22"/>
      <w:szCs w:val="22"/>
    </w:rPr>
  </w:style>
  <w:style w:type="character" w:customStyle="1" w:styleId="Heading3Char">
    <w:name w:val="Heading 3 Char"/>
    <w:basedOn w:val="DefaultParagraphFont"/>
    <w:link w:val="Heading3"/>
    <w:semiHidden/>
    <w:rsid w:val="00E24C53"/>
    <w:rPr>
      <w:rFonts w:ascii="Arial LatArm" w:hAnsi="Arial LatArm"/>
      <w:i/>
      <w:lang w:val="en-AU"/>
    </w:rPr>
  </w:style>
  <w:style w:type="character" w:styleId="Hyperlink">
    <w:name w:val="Hyperlink"/>
    <w:semiHidden/>
    <w:unhideWhenUsed/>
    <w:rsid w:val="00E24C53"/>
    <w:rPr>
      <w:color w:val="0000FF"/>
      <w:u w:val="single"/>
    </w:rPr>
  </w:style>
  <w:style w:type="character" w:customStyle="1" w:styleId="BodyTextIndentChar">
    <w:name w:val="Body Text Indent Char"/>
    <w:aliases w:val="Char Char"/>
    <w:basedOn w:val="DefaultParagraphFont"/>
    <w:link w:val="BodyTextIndent"/>
    <w:semiHidden/>
    <w:locked/>
    <w:rsid w:val="00E24C53"/>
    <w:rPr>
      <w:rFonts w:ascii="Arial LatArm" w:hAnsi="Arial LatArm"/>
      <w:i/>
      <w:lang w:val="en-AU"/>
    </w:rPr>
  </w:style>
  <w:style w:type="paragraph" w:styleId="BodyTextIndent">
    <w:name w:val="Body Text Indent"/>
    <w:aliases w:val="Char"/>
    <w:basedOn w:val="Normal"/>
    <w:link w:val="BodyTextIndentChar"/>
    <w:semiHidden/>
    <w:unhideWhenUsed/>
    <w:rsid w:val="00E24C53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E24C5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5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ultproject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856</Words>
  <Characters>4885</Characters>
  <Application>Microsoft Office Word</Application>
  <DocSecurity>0</DocSecurity>
  <Lines>40</Lines>
  <Paragraphs>11</Paragraphs>
  <ScaleCrop>false</ScaleCrop>
  <Company/>
  <LinksUpToDate>false</LinksUpToDate>
  <CharactersWithSpaces>5730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grigor</dc:creator>
  <cp:keywords/>
  <dc:description/>
  <cp:lastModifiedBy>grigor</cp:lastModifiedBy>
  <cp:revision>2</cp:revision>
  <dcterms:created xsi:type="dcterms:W3CDTF">2014-11-14T13:03:00Z</dcterms:created>
  <dcterms:modified xsi:type="dcterms:W3CDTF">2014-11-14T13:03:00Z</dcterms:modified>
</cp:coreProperties>
</file>